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riekatabuky"/>
        <w:tblW w:w="0" w:type="auto"/>
        <w:tblLook w:val="04A0" w:firstRow="1" w:lastRow="0" w:firstColumn="1" w:lastColumn="0" w:noHBand="0" w:noVBand="1"/>
      </w:tblPr>
      <w:tblGrid>
        <w:gridCol w:w="4248"/>
        <w:gridCol w:w="4252"/>
        <w:gridCol w:w="2268"/>
        <w:gridCol w:w="3119"/>
      </w:tblGrid>
      <w:tr w:rsidR="009B104F" w:rsidRPr="004476F4" w14:paraId="542DB41D" w14:textId="77777777" w:rsidTr="009B104F">
        <w:trPr>
          <w:trHeight w:val="414"/>
        </w:trPr>
        <w:tc>
          <w:tcPr>
            <w:tcW w:w="13887" w:type="dxa"/>
            <w:gridSpan w:val="4"/>
          </w:tcPr>
          <w:p w14:paraId="33199C68" w14:textId="4383E0DD" w:rsidR="009B104F" w:rsidRPr="00D40FF7" w:rsidRDefault="007910A2" w:rsidP="009B104F">
            <w:pPr>
              <w:jc w:val="center"/>
              <w:rPr>
                <w:rFonts w:ascii="Arial" w:hAnsi="Arial" w:cs="Arial"/>
                <w:b/>
                <w:bCs/>
                <w:sz w:val="19"/>
                <w:szCs w:val="19"/>
              </w:rPr>
            </w:pPr>
            <w:bookmarkStart w:id="1" w:name="_Hlk211521515"/>
            <w:r w:rsidRPr="00D40FF7">
              <w:rPr>
                <w:rFonts w:ascii="Arial" w:hAnsi="Arial" w:cs="Arial"/>
                <w:b/>
                <w:bCs/>
                <w:sz w:val="19"/>
                <w:szCs w:val="19"/>
              </w:rPr>
              <w:t xml:space="preserve">Povinnosť </w:t>
            </w:r>
            <w:r w:rsidR="009B104F" w:rsidRPr="00D40FF7">
              <w:rPr>
                <w:rFonts w:ascii="Arial" w:hAnsi="Arial" w:cs="Arial"/>
                <w:b/>
                <w:bCs/>
                <w:sz w:val="19"/>
                <w:szCs w:val="19"/>
              </w:rPr>
              <w:t>poistenia podľa predmetu projektu a subjektu prijímateľa</w:t>
            </w:r>
          </w:p>
          <w:p w14:paraId="4763CF3A" w14:textId="5D6B32A4" w:rsidR="004476F4" w:rsidRPr="00D40FF7" w:rsidRDefault="004476F4" w:rsidP="009B104F">
            <w:pPr>
              <w:jc w:val="center"/>
              <w:rPr>
                <w:rFonts w:ascii="Arial" w:hAnsi="Arial" w:cs="Arial"/>
                <w:b/>
                <w:bCs/>
                <w:sz w:val="19"/>
                <w:szCs w:val="19"/>
              </w:rPr>
            </w:pPr>
          </w:p>
        </w:tc>
      </w:tr>
      <w:bookmarkEnd w:id="1"/>
      <w:tr w:rsidR="009B104F" w:rsidRPr="004476F4" w14:paraId="19DF2AA6" w14:textId="77777777" w:rsidTr="006470D7">
        <w:trPr>
          <w:trHeight w:val="414"/>
        </w:trPr>
        <w:tc>
          <w:tcPr>
            <w:tcW w:w="4248" w:type="dxa"/>
          </w:tcPr>
          <w:p w14:paraId="4FF691F7" w14:textId="5BF9D5AD" w:rsidR="009B104F" w:rsidRPr="00D40FF7" w:rsidRDefault="009B104F" w:rsidP="009B104F">
            <w:pPr>
              <w:rPr>
                <w:rFonts w:ascii="Arial" w:hAnsi="Arial" w:cs="Arial"/>
                <w:b/>
                <w:bCs/>
                <w:sz w:val="19"/>
                <w:szCs w:val="19"/>
              </w:rPr>
            </w:pPr>
            <w:r w:rsidRPr="00D40FF7">
              <w:rPr>
                <w:rFonts w:ascii="Arial" w:hAnsi="Arial" w:cs="Arial"/>
                <w:b/>
                <w:bCs/>
                <w:sz w:val="19"/>
                <w:szCs w:val="19"/>
              </w:rPr>
              <w:t>Predmet projektu</w:t>
            </w:r>
          </w:p>
        </w:tc>
        <w:tc>
          <w:tcPr>
            <w:tcW w:w="4252" w:type="dxa"/>
          </w:tcPr>
          <w:p w14:paraId="414A9A28" w14:textId="1A8728BD" w:rsidR="009B104F" w:rsidRPr="00D40FF7" w:rsidRDefault="009B104F" w:rsidP="009B104F">
            <w:pPr>
              <w:rPr>
                <w:rFonts w:ascii="Arial" w:hAnsi="Arial" w:cs="Arial"/>
                <w:b/>
                <w:bCs/>
                <w:sz w:val="19"/>
                <w:szCs w:val="19"/>
              </w:rPr>
            </w:pPr>
            <w:r w:rsidRPr="00D40FF7">
              <w:rPr>
                <w:rFonts w:ascii="Arial" w:hAnsi="Arial" w:cs="Arial"/>
                <w:b/>
                <w:bCs/>
                <w:sz w:val="19"/>
                <w:szCs w:val="19"/>
              </w:rPr>
              <w:t>Oprávnení prijímatelia</w:t>
            </w:r>
          </w:p>
        </w:tc>
        <w:tc>
          <w:tcPr>
            <w:tcW w:w="2268" w:type="dxa"/>
          </w:tcPr>
          <w:p w14:paraId="6608B9CF" w14:textId="4E329ACC" w:rsidR="009B104F" w:rsidRPr="00D40FF7" w:rsidRDefault="009B104F" w:rsidP="009B104F">
            <w:pPr>
              <w:rPr>
                <w:rFonts w:ascii="Arial" w:hAnsi="Arial" w:cs="Arial"/>
                <w:b/>
                <w:bCs/>
                <w:sz w:val="19"/>
                <w:szCs w:val="19"/>
              </w:rPr>
            </w:pPr>
            <w:r w:rsidRPr="00D40FF7">
              <w:rPr>
                <w:rFonts w:ascii="Arial" w:hAnsi="Arial" w:cs="Arial"/>
                <w:b/>
                <w:bCs/>
                <w:sz w:val="19"/>
                <w:szCs w:val="19"/>
              </w:rPr>
              <w:t>Poistenie je vyžadované ÁNO/NIE</w:t>
            </w:r>
          </w:p>
        </w:tc>
        <w:tc>
          <w:tcPr>
            <w:tcW w:w="3119" w:type="dxa"/>
          </w:tcPr>
          <w:p w14:paraId="77CD2CC3" w14:textId="06697089" w:rsidR="009B104F" w:rsidRPr="00D40FF7" w:rsidRDefault="009B104F" w:rsidP="009B104F">
            <w:pPr>
              <w:rPr>
                <w:rFonts w:ascii="Arial" w:hAnsi="Arial" w:cs="Arial"/>
                <w:b/>
                <w:bCs/>
                <w:sz w:val="19"/>
                <w:szCs w:val="19"/>
              </w:rPr>
            </w:pPr>
            <w:r w:rsidRPr="00D40FF7">
              <w:rPr>
                <w:rFonts w:ascii="Arial" w:hAnsi="Arial" w:cs="Arial"/>
                <w:b/>
                <w:bCs/>
                <w:sz w:val="19"/>
                <w:szCs w:val="19"/>
              </w:rPr>
              <w:t>Poznámka</w:t>
            </w:r>
          </w:p>
        </w:tc>
      </w:tr>
      <w:tr w:rsidR="009B104F" w:rsidRPr="004476F4" w14:paraId="445531DB" w14:textId="77777777" w:rsidTr="006470D7">
        <w:trPr>
          <w:trHeight w:val="841"/>
        </w:trPr>
        <w:tc>
          <w:tcPr>
            <w:tcW w:w="4248" w:type="dxa"/>
            <w:vMerge w:val="restart"/>
          </w:tcPr>
          <w:p w14:paraId="16000141" w14:textId="31F85F6A" w:rsidR="009B104F" w:rsidRPr="00D40FF7" w:rsidRDefault="009B104F">
            <w:pPr>
              <w:rPr>
                <w:rFonts w:ascii="Arial" w:hAnsi="Arial" w:cs="Arial"/>
                <w:sz w:val="19"/>
                <w:szCs w:val="19"/>
              </w:rPr>
            </w:pPr>
            <w:r w:rsidRPr="00D40FF7">
              <w:rPr>
                <w:rFonts w:ascii="Arial" w:hAnsi="Arial" w:cs="Arial"/>
                <w:b/>
                <w:bCs/>
                <w:sz w:val="19"/>
                <w:szCs w:val="19"/>
              </w:rPr>
              <w:t>Inžinierske/líniové stavby</w:t>
            </w:r>
            <w:r w:rsidRPr="00D40FF7">
              <w:rPr>
                <w:rFonts w:ascii="Arial" w:hAnsi="Arial" w:cs="Arial"/>
                <w:sz w:val="19"/>
                <w:szCs w:val="19"/>
              </w:rPr>
              <w:t xml:space="preserve"> – ich výstavba, rekonštrukcia a modernizácia</w:t>
            </w:r>
          </w:p>
          <w:p w14:paraId="496DEC88" w14:textId="18DC2607" w:rsidR="009B104F" w:rsidRPr="00D40FF7" w:rsidRDefault="009B104F">
            <w:pPr>
              <w:rPr>
                <w:rFonts w:ascii="Arial" w:hAnsi="Arial" w:cs="Arial"/>
                <w:sz w:val="19"/>
                <w:szCs w:val="19"/>
              </w:rPr>
            </w:pPr>
            <w:r w:rsidRPr="00D40FF7">
              <w:rPr>
                <w:rFonts w:ascii="Arial" w:hAnsi="Arial" w:cs="Arial"/>
                <w:sz w:val="19"/>
                <w:szCs w:val="19"/>
              </w:rPr>
              <w:t>(cesty, mostné objekty, lávky, križovatky, obchvaty, dažďové kanalizácie a odvodňovacie zariadenia na odvedenie vôd z telies ciest,  prvky upokojovania dopravy a prvky usmerňovania dopravy,   zastávkové zálivy, nástupištia zastávky, zastávky,  migračné koridory a objekty pre voľne žijúce živočíchy, výstavba a modernizácia nemotoristických komunikácií s vylúčeným alebo obmedzeným prístupom motorovej dopravy, cyklocesty, chodníky, modernizácia upokojených komunikácií, výstavba a rozšírenie stokovej siete, výstavba a rozšírenie verejných vodovodov,  výstavba a</w:t>
            </w:r>
            <w:r w:rsidR="00B82FC4" w:rsidRPr="00D40FF7">
              <w:rPr>
                <w:rFonts w:ascii="Arial" w:hAnsi="Arial" w:cs="Arial"/>
                <w:sz w:val="19"/>
                <w:szCs w:val="19"/>
              </w:rPr>
              <w:t> </w:t>
            </w:r>
            <w:r w:rsidRPr="00D40FF7">
              <w:rPr>
                <w:rFonts w:ascii="Arial" w:hAnsi="Arial" w:cs="Arial"/>
                <w:sz w:val="19"/>
                <w:szCs w:val="19"/>
              </w:rPr>
              <w:t>modernizácia</w:t>
            </w:r>
            <w:r w:rsidR="00B82FC4" w:rsidRPr="00D40FF7">
              <w:rPr>
                <w:rFonts w:ascii="Arial" w:hAnsi="Arial" w:cs="Arial"/>
                <w:sz w:val="19"/>
                <w:szCs w:val="19"/>
              </w:rPr>
              <w:t xml:space="preserve"> </w:t>
            </w:r>
            <w:r w:rsidRPr="00D40FF7">
              <w:rPr>
                <w:rFonts w:ascii="Arial" w:hAnsi="Arial" w:cs="Arial"/>
                <w:sz w:val="19"/>
                <w:szCs w:val="19"/>
              </w:rPr>
              <w:t>vodojemov, rekonštrukcia a výstavba nekrytých športových ihrísk.</w:t>
            </w:r>
          </w:p>
        </w:tc>
        <w:tc>
          <w:tcPr>
            <w:tcW w:w="4252" w:type="dxa"/>
          </w:tcPr>
          <w:p w14:paraId="19180A48" w14:textId="75D46E43" w:rsidR="009B104F" w:rsidRPr="00D40FF7" w:rsidRDefault="009B104F" w:rsidP="00107DDB">
            <w:pPr>
              <w:rPr>
                <w:rFonts w:ascii="Arial" w:hAnsi="Arial" w:cs="Arial"/>
                <w:sz w:val="19"/>
                <w:szCs w:val="19"/>
              </w:rPr>
            </w:pPr>
            <w:r w:rsidRPr="00D40FF7">
              <w:rPr>
                <w:rFonts w:ascii="Arial" w:hAnsi="Arial" w:cs="Arial"/>
                <w:b/>
                <w:bCs/>
                <w:sz w:val="19"/>
                <w:szCs w:val="19"/>
              </w:rPr>
              <w:t>Subjekty verejnej správy</w:t>
            </w:r>
            <w:r w:rsidRPr="00D40FF7">
              <w:rPr>
                <w:rStyle w:val="Odkaznapoznmkupodiarou"/>
                <w:rFonts w:ascii="Arial" w:hAnsi="Arial" w:cs="Arial"/>
                <w:sz w:val="19"/>
                <w:szCs w:val="19"/>
              </w:rPr>
              <w:footnoteReference w:id="1"/>
            </w:r>
            <w:r w:rsidRPr="00D40FF7">
              <w:rPr>
                <w:rFonts w:ascii="Arial" w:hAnsi="Arial" w:cs="Arial"/>
                <w:sz w:val="19"/>
                <w:szCs w:val="19"/>
              </w:rPr>
              <w:t xml:space="preserve"> </w:t>
            </w:r>
            <w:r w:rsidRPr="00D40FF7">
              <w:rPr>
                <w:rFonts w:ascii="Arial" w:hAnsi="Arial" w:cs="Arial"/>
                <w:sz w:val="19"/>
                <w:szCs w:val="19"/>
              </w:rPr>
              <w:br/>
              <w:t>obec, mesto, mestská časť , združenie obcí , záujmové združenie právnických osôb s výlučnou účasťou obcí, právnická osoba zriadená podľa osobitného predpisu, na ktorej podnikaní sa majetkovou účasťou podieľajú len obce alebo združenia obcí, vyšší územný celok,  rozpočtová alebo príspevková organizácia, ktorej zriaďovateľom je vyšší územný celok alebo mesto, mestská časť, prípadne obec, samosprávny kraj, ministerstvo, verejná vysoká škola, štátna vysoká škola, materská/základná/stredná škola a ich zriaďovatelia, základná škola s materskou školou a ich zriaďovatelia, základná umelecká škola a ich zriaďovatelia, spojená škola, ktorej základná škola je organizačnou zložkou a ich zriaďovatelia, centrá voľného času, školské kluby detí a ich zriaďovatelia, organizácia štátnej správy (ústredné orgány štátnej správy, štátna príspevková organizácia, štátna rozpočtová organizácia) a podobne.</w:t>
            </w:r>
          </w:p>
        </w:tc>
        <w:tc>
          <w:tcPr>
            <w:tcW w:w="2268" w:type="dxa"/>
            <w:vMerge w:val="restart"/>
            <w:vAlign w:val="center"/>
          </w:tcPr>
          <w:p w14:paraId="4A4F1CB6" w14:textId="481F5047" w:rsidR="009B104F" w:rsidRPr="00D40FF7" w:rsidRDefault="009B104F" w:rsidP="003F4404">
            <w:pPr>
              <w:jc w:val="center"/>
              <w:rPr>
                <w:rFonts w:ascii="Arial" w:hAnsi="Arial" w:cs="Arial"/>
                <w:sz w:val="19"/>
                <w:szCs w:val="19"/>
              </w:rPr>
            </w:pPr>
            <w:r w:rsidRPr="00D40FF7">
              <w:rPr>
                <w:rFonts w:ascii="Arial" w:hAnsi="Arial" w:cs="Arial"/>
                <w:sz w:val="19"/>
                <w:szCs w:val="19"/>
              </w:rPr>
              <w:t>NIE</w:t>
            </w:r>
            <w:r w:rsidRPr="00D40FF7">
              <w:rPr>
                <w:rFonts w:ascii="Arial" w:hAnsi="Arial" w:cs="Arial"/>
                <w:sz w:val="19"/>
                <w:szCs w:val="19"/>
              </w:rPr>
              <w:br/>
            </w:r>
            <w:r w:rsidRPr="00D40FF7">
              <w:rPr>
                <w:rFonts w:ascii="Arial" w:hAnsi="Arial" w:cs="Arial"/>
                <w:sz w:val="19"/>
                <w:szCs w:val="19"/>
              </w:rPr>
              <w:br/>
              <w:t>pre všetkých prijímateľov</w:t>
            </w:r>
          </w:p>
        </w:tc>
        <w:tc>
          <w:tcPr>
            <w:tcW w:w="3119" w:type="dxa"/>
            <w:vMerge w:val="restart"/>
          </w:tcPr>
          <w:p w14:paraId="580D4091" w14:textId="4F5F8DBC" w:rsidR="009B104F" w:rsidRPr="00D40FF7" w:rsidRDefault="007D2E5C">
            <w:pPr>
              <w:rPr>
                <w:rFonts w:ascii="Arial" w:hAnsi="Arial" w:cs="Arial"/>
                <w:sz w:val="19"/>
                <w:szCs w:val="19"/>
              </w:rPr>
            </w:pPr>
            <w:r w:rsidRPr="00D40FF7">
              <w:rPr>
                <w:rFonts w:ascii="Arial" w:hAnsi="Arial" w:cs="Arial"/>
                <w:sz w:val="19"/>
                <w:szCs w:val="19"/>
              </w:rPr>
              <w:t xml:space="preserve"> </w:t>
            </w:r>
          </w:p>
        </w:tc>
      </w:tr>
      <w:tr w:rsidR="009B104F" w:rsidRPr="004476F4" w14:paraId="5F3E0103" w14:textId="77777777" w:rsidTr="006470D7">
        <w:trPr>
          <w:trHeight w:val="2134"/>
        </w:trPr>
        <w:tc>
          <w:tcPr>
            <w:tcW w:w="4248" w:type="dxa"/>
            <w:vMerge/>
          </w:tcPr>
          <w:p w14:paraId="30E44724" w14:textId="77777777" w:rsidR="009B104F" w:rsidRPr="00D40FF7" w:rsidRDefault="009B104F">
            <w:pPr>
              <w:rPr>
                <w:rFonts w:ascii="Arial" w:hAnsi="Arial" w:cs="Arial"/>
                <w:b/>
                <w:bCs/>
                <w:sz w:val="19"/>
                <w:szCs w:val="19"/>
              </w:rPr>
            </w:pPr>
          </w:p>
        </w:tc>
        <w:tc>
          <w:tcPr>
            <w:tcW w:w="4252" w:type="dxa"/>
          </w:tcPr>
          <w:p w14:paraId="408A0F16" w14:textId="1FD6F7FB" w:rsidR="009B104F" w:rsidRPr="00D40FF7" w:rsidRDefault="009B104F" w:rsidP="00256F7C">
            <w:pPr>
              <w:rPr>
                <w:rFonts w:ascii="Arial" w:hAnsi="Arial" w:cs="Arial"/>
                <w:sz w:val="19"/>
                <w:szCs w:val="19"/>
              </w:rPr>
            </w:pPr>
            <w:r w:rsidRPr="00D40FF7">
              <w:rPr>
                <w:rFonts w:ascii="Arial" w:hAnsi="Arial" w:cs="Arial"/>
                <w:b/>
                <w:bCs/>
                <w:sz w:val="19"/>
                <w:szCs w:val="19"/>
              </w:rPr>
              <w:t>Ostatní prijímatelia</w:t>
            </w:r>
            <w:r w:rsidRPr="00D40FF7">
              <w:rPr>
                <w:rStyle w:val="Odkaznapoznmkupodiarou"/>
                <w:rFonts w:ascii="Arial" w:hAnsi="Arial" w:cs="Arial"/>
                <w:sz w:val="19"/>
                <w:szCs w:val="19"/>
              </w:rPr>
              <w:footnoteReference w:id="2"/>
            </w:r>
            <w:r w:rsidRPr="00D40FF7">
              <w:rPr>
                <w:rFonts w:ascii="Arial" w:hAnsi="Arial" w:cs="Arial"/>
                <w:sz w:val="19"/>
                <w:szCs w:val="19"/>
              </w:rPr>
              <w:br/>
              <w:t>registrovaná cirkev, náboženská spoločnosť a právnická osoba, ktorá odvodzuje svoju právnu subjektivitu od cirkvi alebo náboženskej spoločnosti,  občianske združenie,  nezisková organizácia poskytujúca všeobecne prospešné služby,  nadácia,  záujmové združenie právnických osôb a podobne.</w:t>
            </w:r>
          </w:p>
        </w:tc>
        <w:tc>
          <w:tcPr>
            <w:tcW w:w="2268" w:type="dxa"/>
            <w:vMerge/>
          </w:tcPr>
          <w:p w14:paraId="0B71A51F" w14:textId="77777777" w:rsidR="009B104F" w:rsidRPr="00D40FF7" w:rsidRDefault="009B104F">
            <w:pPr>
              <w:rPr>
                <w:rFonts w:ascii="Arial" w:hAnsi="Arial" w:cs="Arial"/>
                <w:sz w:val="19"/>
                <w:szCs w:val="19"/>
              </w:rPr>
            </w:pPr>
          </w:p>
        </w:tc>
        <w:tc>
          <w:tcPr>
            <w:tcW w:w="3119" w:type="dxa"/>
            <w:vMerge/>
          </w:tcPr>
          <w:p w14:paraId="21D85FD8" w14:textId="77777777" w:rsidR="009B104F" w:rsidRPr="00D40FF7" w:rsidRDefault="009B104F">
            <w:pPr>
              <w:rPr>
                <w:rFonts w:ascii="Arial" w:hAnsi="Arial" w:cs="Arial"/>
                <w:sz w:val="19"/>
                <w:szCs w:val="19"/>
              </w:rPr>
            </w:pPr>
          </w:p>
        </w:tc>
      </w:tr>
      <w:tr w:rsidR="009B104F" w:rsidRPr="004476F4" w14:paraId="1DE55BD7" w14:textId="77777777" w:rsidTr="006470D7">
        <w:trPr>
          <w:trHeight w:val="1141"/>
        </w:trPr>
        <w:tc>
          <w:tcPr>
            <w:tcW w:w="4248" w:type="dxa"/>
            <w:vMerge w:val="restart"/>
          </w:tcPr>
          <w:p w14:paraId="6AA7FB7F" w14:textId="5E013DB2" w:rsidR="009B104F" w:rsidRPr="00D40FF7" w:rsidRDefault="009B104F" w:rsidP="006470D7">
            <w:pPr>
              <w:jc w:val="both"/>
              <w:rPr>
                <w:rFonts w:ascii="Arial" w:hAnsi="Arial" w:cs="Arial"/>
                <w:sz w:val="19"/>
                <w:szCs w:val="19"/>
              </w:rPr>
            </w:pPr>
            <w:r w:rsidRPr="00D40FF7">
              <w:rPr>
                <w:rFonts w:ascii="Arial" w:hAnsi="Arial" w:cs="Arial"/>
                <w:b/>
                <w:bCs/>
                <w:sz w:val="19"/>
                <w:szCs w:val="19"/>
              </w:rPr>
              <w:t>Budovy, stavebné objekty</w:t>
            </w:r>
            <w:r w:rsidRPr="00D40FF7">
              <w:rPr>
                <w:rFonts w:ascii="Arial" w:hAnsi="Arial" w:cs="Arial"/>
                <w:sz w:val="19"/>
                <w:szCs w:val="19"/>
              </w:rPr>
              <w:t xml:space="preserve"> (mimo kultúrnych pamiatok) – ich výstavba, prístavba, nadstavba, stavebné úpravy, budovanie aj rekonštrukcia (obnova) stavieb</w:t>
            </w:r>
            <w:r w:rsidR="007910A2" w:rsidRPr="00D40FF7">
              <w:rPr>
                <w:rFonts w:ascii="Arial" w:hAnsi="Arial" w:cs="Arial"/>
                <w:sz w:val="19"/>
                <w:szCs w:val="19"/>
              </w:rPr>
              <w:t xml:space="preserve"> -</w:t>
            </w:r>
            <w:r w:rsidRPr="00D40FF7">
              <w:rPr>
                <w:rFonts w:ascii="Arial" w:hAnsi="Arial" w:cs="Arial"/>
                <w:sz w:val="19"/>
                <w:szCs w:val="19"/>
              </w:rPr>
              <w:t xml:space="preserve"> budovy škôl, vonkajších učební, škôlok, internátov, školských športovísk, centier voľného času, školských klubov detí a školských jedální, budovanie resp. modernizáci</w:t>
            </w:r>
            <w:r w:rsidR="003F4404" w:rsidRPr="00D40FF7">
              <w:rPr>
                <w:rFonts w:ascii="Arial" w:hAnsi="Arial" w:cs="Arial"/>
                <w:sz w:val="19"/>
                <w:szCs w:val="19"/>
              </w:rPr>
              <w:t>a</w:t>
            </w:r>
            <w:r w:rsidRPr="00D40FF7">
              <w:rPr>
                <w:rFonts w:ascii="Arial" w:hAnsi="Arial" w:cs="Arial"/>
                <w:sz w:val="19"/>
                <w:szCs w:val="19"/>
              </w:rPr>
              <w:t xml:space="preserve"> učební, komunitn</w:t>
            </w:r>
            <w:r w:rsidR="003F4404" w:rsidRPr="00D40FF7">
              <w:rPr>
                <w:rFonts w:ascii="Arial" w:hAnsi="Arial" w:cs="Arial"/>
                <w:sz w:val="19"/>
                <w:szCs w:val="19"/>
              </w:rPr>
              <w:t>é</w:t>
            </w:r>
            <w:r w:rsidRPr="00D40FF7">
              <w:rPr>
                <w:rFonts w:ascii="Arial" w:hAnsi="Arial" w:cs="Arial"/>
                <w:sz w:val="19"/>
                <w:szCs w:val="19"/>
              </w:rPr>
              <w:t xml:space="preserve"> cent</w:t>
            </w:r>
            <w:r w:rsidR="003F4404" w:rsidRPr="00D40FF7">
              <w:rPr>
                <w:rFonts w:ascii="Arial" w:hAnsi="Arial" w:cs="Arial"/>
                <w:sz w:val="19"/>
                <w:szCs w:val="19"/>
              </w:rPr>
              <w:t>rá</w:t>
            </w:r>
            <w:r w:rsidRPr="00D40FF7">
              <w:rPr>
                <w:rFonts w:ascii="Arial" w:hAnsi="Arial" w:cs="Arial"/>
                <w:sz w:val="19"/>
                <w:szCs w:val="19"/>
              </w:rPr>
              <w:t>, kultúrne domy, kúpeľné domy, rekreačn</w:t>
            </w:r>
            <w:r w:rsidR="003F4404" w:rsidRPr="00D40FF7">
              <w:rPr>
                <w:rFonts w:ascii="Arial" w:hAnsi="Arial" w:cs="Arial"/>
                <w:sz w:val="19"/>
                <w:szCs w:val="19"/>
              </w:rPr>
              <w:t>é</w:t>
            </w:r>
            <w:r w:rsidRPr="00D40FF7">
              <w:rPr>
                <w:rFonts w:ascii="Arial" w:hAnsi="Arial" w:cs="Arial"/>
                <w:sz w:val="19"/>
                <w:szCs w:val="19"/>
              </w:rPr>
              <w:t xml:space="preserve"> objekt</w:t>
            </w:r>
            <w:r w:rsidR="003F4404" w:rsidRPr="00D40FF7">
              <w:rPr>
                <w:rFonts w:ascii="Arial" w:hAnsi="Arial" w:cs="Arial"/>
                <w:sz w:val="19"/>
                <w:szCs w:val="19"/>
              </w:rPr>
              <w:t>y</w:t>
            </w:r>
            <w:r w:rsidRPr="00D40FF7">
              <w:rPr>
                <w:rFonts w:ascii="Arial" w:hAnsi="Arial" w:cs="Arial"/>
                <w:sz w:val="19"/>
                <w:szCs w:val="19"/>
              </w:rPr>
              <w:t>, parkovacie domy pre bicykle, drobné stavby...), debarierizačné opatrenia,  rekonštrukcia a modernizácia infraštruktúry v okolí vodných plôch (ako napr. zázemie pre vodné športy, vodné móla a prístaviská pri vodných plochách), infraštruktúr</w:t>
            </w:r>
            <w:r w:rsidR="003F4404" w:rsidRPr="00D40FF7">
              <w:rPr>
                <w:rFonts w:ascii="Arial" w:hAnsi="Arial" w:cs="Arial"/>
                <w:sz w:val="19"/>
                <w:szCs w:val="19"/>
              </w:rPr>
              <w:t>a</w:t>
            </w:r>
            <w:r w:rsidRPr="00D40FF7">
              <w:rPr>
                <w:rFonts w:ascii="Arial" w:hAnsi="Arial" w:cs="Arial"/>
                <w:sz w:val="19"/>
                <w:szCs w:val="19"/>
              </w:rPr>
              <w:t xml:space="preserve"> v oblasti kúpeľníctva (kolonády, spoločenské objekty nachádzajúce sa mimo kúpeľného domu), rekonštrukcia a výstavba jednoduchých a drobných stavieb (napr. prístrešky, altánky, verejné hygienické zariadenia), rekonštrukcia existujúcich a budovanie nových turistických informačných centier, objekty chránených parkovísk pre bicykle, viacúčelové športové areály a športové a telovýchovné objekty.</w:t>
            </w:r>
          </w:p>
        </w:tc>
        <w:tc>
          <w:tcPr>
            <w:tcW w:w="4252" w:type="dxa"/>
          </w:tcPr>
          <w:p w14:paraId="49681CF7" w14:textId="7D6C2109" w:rsidR="009B104F" w:rsidRPr="00D40FF7" w:rsidRDefault="009B104F" w:rsidP="00AD4A5E">
            <w:pPr>
              <w:rPr>
                <w:rFonts w:ascii="Arial" w:hAnsi="Arial" w:cs="Arial"/>
                <w:sz w:val="19"/>
                <w:szCs w:val="19"/>
              </w:rPr>
            </w:pPr>
            <w:r w:rsidRPr="00D40FF7">
              <w:rPr>
                <w:rFonts w:ascii="Arial" w:hAnsi="Arial" w:cs="Arial"/>
                <w:b/>
                <w:bCs/>
                <w:sz w:val="19"/>
                <w:szCs w:val="19"/>
              </w:rPr>
              <w:t>Subjekty verejnej správy</w:t>
            </w:r>
            <w:r w:rsidRPr="00D40FF7">
              <w:rPr>
                <w:rFonts w:ascii="Arial" w:hAnsi="Arial" w:cs="Arial"/>
                <w:b/>
                <w:bCs/>
                <w:sz w:val="19"/>
                <w:szCs w:val="19"/>
                <w:vertAlign w:val="superscript"/>
              </w:rPr>
              <w:t>1</w:t>
            </w:r>
            <w:r w:rsidRPr="00D40FF7">
              <w:rPr>
                <w:rFonts w:ascii="Arial" w:hAnsi="Arial" w:cs="Arial"/>
                <w:sz w:val="19"/>
                <w:szCs w:val="19"/>
              </w:rPr>
              <w:br/>
            </w:r>
          </w:p>
        </w:tc>
        <w:tc>
          <w:tcPr>
            <w:tcW w:w="2268" w:type="dxa"/>
            <w:vAlign w:val="center"/>
          </w:tcPr>
          <w:p w14:paraId="5ABB5A57" w14:textId="77777777" w:rsidR="003F4404" w:rsidRPr="00D40FF7" w:rsidRDefault="009B104F" w:rsidP="003F4404">
            <w:pPr>
              <w:jc w:val="center"/>
              <w:rPr>
                <w:rFonts w:ascii="Arial" w:hAnsi="Arial" w:cs="Arial"/>
                <w:sz w:val="19"/>
                <w:szCs w:val="19"/>
              </w:rPr>
            </w:pPr>
            <w:r w:rsidRPr="00D40FF7">
              <w:rPr>
                <w:rFonts w:ascii="Arial" w:hAnsi="Arial" w:cs="Arial"/>
                <w:sz w:val="19"/>
                <w:szCs w:val="19"/>
              </w:rPr>
              <w:t>NIE</w:t>
            </w:r>
            <w:r w:rsidRPr="00D40FF7">
              <w:rPr>
                <w:rFonts w:ascii="Arial" w:hAnsi="Arial" w:cs="Arial"/>
                <w:sz w:val="19"/>
                <w:szCs w:val="19"/>
              </w:rPr>
              <w:br/>
            </w:r>
          </w:p>
          <w:p w14:paraId="3A2C03CD" w14:textId="6E001AEE" w:rsidR="009B104F" w:rsidRPr="00D40FF7" w:rsidRDefault="009B104F" w:rsidP="003F4404">
            <w:pPr>
              <w:jc w:val="center"/>
              <w:rPr>
                <w:rFonts w:ascii="Arial" w:hAnsi="Arial" w:cs="Arial"/>
                <w:sz w:val="19"/>
                <w:szCs w:val="19"/>
              </w:rPr>
            </w:pPr>
            <w:r w:rsidRPr="00D40FF7">
              <w:rPr>
                <w:rFonts w:ascii="Arial" w:hAnsi="Arial" w:cs="Arial"/>
                <w:sz w:val="19"/>
                <w:szCs w:val="19"/>
              </w:rPr>
              <w:t>Podmienkou je záväzok prijímateľa vrátiť poškodený</w:t>
            </w:r>
            <w:r w:rsidR="007D2E5C" w:rsidRPr="00D40FF7">
              <w:rPr>
                <w:rFonts w:ascii="Arial" w:hAnsi="Arial" w:cs="Arial"/>
                <w:sz w:val="19"/>
                <w:szCs w:val="19"/>
              </w:rPr>
              <w:t>, zničený</w:t>
            </w:r>
            <w:r w:rsidR="00CD2FB2">
              <w:rPr>
                <w:rFonts w:ascii="Arial" w:hAnsi="Arial" w:cs="Arial"/>
                <w:sz w:val="19"/>
                <w:szCs w:val="19"/>
              </w:rPr>
              <w:t>,</w:t>
            </w:r>
            <w:r w:rsidR="007D2E5C" w:rsidRPr="00D40FF7">
              <w:rPr>
                <w:rFonts w:ascii="Arial" w:hAnsi="Arial" w:cs="Arial"/>
                <w:sz w:val="19"/>
                <w:szCs w:val="19"/>
              </w:rPr>
              <w:t xml:space="preserve"> </w:t>
            </w:r>
            <w:r w:rsidR="00CD2FB2" w:rsidRPr="00D40FF7">
              <w:rPr>
                <w:rFonts w:ascii="Arial" w:hAnsi="Arial" w:cs="Arial"/>
                <w:sz w:val="19"/>
                <w:szCs w:val="19"/>
              </w:rPr>
              <w:t xml:space="preserve">odcudzený </w:t>
            </w:r>
            <w:r w:rsidR="007D2E5C" w:rsidRPr="00D40FF7">
              <w:rPr>
                <w:rFonts w:ascii="Arial" w:hAnsi="Arial" w:cs="Arial"/>
                <w:sz w:val="19"/>
                <w:szCs w:val="19"/>
              </w:rPr>
              <w:t xml:space="preserve">alebo </w:t>
            </w:r>
            <w:r w:rsidR="00CD2FB2">
              <w:rPr>
                <w:rFonts w:ascii="Arial" w:hAnsi="Arial" w:cs="Arial"/>
                <w:sz w:val="19"/>
                <w:szCs w:val="19"/>
              </w:rPr>
              <w:t xml:space="preserve">stratený </w:t>
            </w:r>
            <w:r w:rsidRPr="00D40FF7">
              <w:rPr>
                <w:rFonts w:ascii="Arial" w:hAnsi="Arial" w:cs="Arial"/>
                <w:sz w:val="19"/>
                <w:szCs w:val="19"/>
              </w:rPr>
              <w:t xml:space="preserve">majetok nadobudnutý z NFP do pôvodného stavu na vlastné náklady </w:t>
            </w:r>
            <w:r w:rsidR="00EC0500" w:rsidRPr="00D40FF7">
              <w:rPr>
                <w:rFonts w:ascii="Arial" w:hAnsi="Arial" w:cs="Arial"/>
                <w:sz w:val="19"/>
                <w:szCs w:val="19"/>
              </w:rPr>
              <w:br/>
            </w:r>
            <w:r w:rsidRPr="00D40FF7">
              <w:rPr>
                <w:rFonts w:ascii="Arial" w:hAnsi="Arial" w:cs="Arial"/>
                <w:sz w:val="19"/>
                <w:szCs w:val="19"/>
              </w:rPr>
              <w:t>(Príloha</w:t>
            </w:r>
            <w:r w:rsidR="003126A4" w:rsidRPr="00D40FF7">
              <w:rPr>
                <w:rFonts w:ascii="Arial" w:hAnsi="Arial" w:cs="Arial"/>
                <w:sz w:val="19"/>
                <w:szCs w:val="19"/>
              </w:rPr>
              <w:t xml:space="preserve"> 4.16.2</w:t>
            </w:r>
            <w:r w:rsidR="007D2E5C" w:rsidRPr="00D40FF7">
              <w:rPr>
                <w:rFonts w:ascii="Arial" w:hAnsi="Arial" w:cs="Arial"/>
                <w:sz w:val="19"/>
                <w:szCs w:val="19"/>
              </w:rPr>
              <w:t>.</w:t>
            </w:r>
            <w:r w:rsidR="003126A4" w:rsidRPr="00D40FF7">
              <w:rPr>
                <w:rFonts w:ascii="Arial" w:hAnsi="Arial" w:cs="Arial"/>
                <w:sz w:val="19"/>
                <w:szCs w:val="19"/>
              </w:rPr>
              <w:t>a</w:t>
            </w:r>
            <w:r w:rsidRPr="00D40FF7">
              <w:rPr>
                <w:rFonts w:ascii="Arial" w:hAnsi="Arial" w:cs="Arial"/>
                <w:sz w:val="19"/>
                <w:szCs w:val="19"/>
              </w:rPr>
              <w:t>)</w:t>
            </w:r>
          </w:p>
        </w:tc>
        <w:tc>
          <w:tcPr>
            <w:tcW w:w="3119" w:type="dxa"/>
          </w:tcPr>
          <w:p w14:paraId="459AA1AB" w14:textId="1EA54807" w:rsidR="009B104F" w:rsidRPr="00D40FF7" w:rsidRDefault="007A1CA8" w:rsidP="0040586C">
            <w:pPr>
              <w:rPr>
                <w:rFonts w:ascii="Arial" w:hAnsi="Arial" w:cs="Arial"/>
                <w:sz w:val="19"/>
                <w:szCs w:val="19"/>
              </w:rPr>
            </w:pPr>
            <w:r w:rsidRPr="00D40FF7">
              <w:rPr>
                <w:rFonts w:ascii="Arial" w:hAnsi="Arial" w:cs="Arial"/>
                <w:sz w:val="19"/>
                <w:szCs w:val="19"/>
              </w:rPr>
              <w:t xml:space="preserve"> </w:t>
            </w:r>
          </w:p>
        </w:tc>
      </w:tr>
      <w:tr w:rsidR="009B104F" w:rsidRPr="004476F4" w14:paraId="46A32530" w14:textId="77777777" w:rsidTr="006470D7">
        <w:trPr>
          <w:trHeight w:val="1253"/>
        </w:trPr>
        <w:tc>
          <w:tcPr>
            <w:tcW w:w="4248" w:type="dxa"/>
            <w:vMerge/>
          </w:tcPr>
          <w:p w14:paraId="7C7BC0B2" w14:textId="77777777" w:rsidR="009B104F" w:rsidRPr="00D40FF7" w:rsidRDefault="009B104F" w:rsidP="00E31043">
            <w:pPr>
              <w:jc w:val="both"/>
              <w:rPr>
                <w:rFonts w:ascii="Arial" w:hAnsi="Arial" w:cs="Arial"/>
                <w:b/>
                <w:bCs/>
                <w:sz w:val="19"/>
                <w:szCs w:val="19"/>
              </w:rPr>
            </w:pPr>
          </w:p>
        </w:tc>
        <w:tc>
          <w:tcPr>
            <w:tcW w:w="4252" w:type="dxa"/>
          </w:tcPr>
          <w:p w14:paraId="2A152849" w14:textId="7C1C2527" w:rsidR="009B104F" w:rsidRPr="00D40FF7" w:rsidRDefault="009B104F" w:rsidP="001200AC">
            <w:pPr>
              <w:rPr>
                <w:rFonts w:ascii="Arial" w:hAnsi="Arial" w:cs="Arial"/>
                <w:b/>
                <w:bCs/>
                <w:sz w:val="19"/>
                <w:szCs w:val="19"/>
                <w:vertAlign w:val="superscript"/>
              </w:rPr>
            </w:pPr>
            <w:r w:rsidRPr="00D40FF7">
              <w:rPr>
                <w:rFonts w:ascii="Arial" w:hAnsi="Arial" w:cs="Arial"/>
                <w:b/>
                <w:bCs/>
                <w:sz w:val="19"/>
                <w:szCs w:val="19"/>
              </w:rPr>
              <w:t>Ostatní prijímatelia</w:t>
            </w:r>
            <w:r w:rsidRPr="00D40FF7">
              <w:rPr>
                <w:rFonts w:ascii="Arial" w:hAnsi="Arial" w:cs="Arial"/>
                <w:b/>
                <w:bCs/>
                <w:sz w:val="19"/>
                <w:szCs w:val="19"/>
                <w:vertAlign w:val="superscript"/>
              </w:rPr>
              <w:t>2</w:t>
            </w:r>
          </w:p>
          <w:p w14:paraId="329C5DC5" w14:textId="1028ED7F" w:rsidR="009B104F" w:rsidRPr="00D40FF7" w:rsidRDefault="009B104F" w:rsidP="001200AC">
            <w:pPr>
              <w:rPr>
                <w:rFonts w:ascii="Arial" w:hAnsi="Arial" w:cs="Arial"/>
                <w:sz w:val="19"/>
                <w:szCs w:val="19"/>
              </w:rPr>
            </w:pPr>
          </w:p>
        </w:tc>
        <w:tc>
          <w:tcPr>
            <w:tcW w:w="2268" w:type="dxa"/>
            <w:vAlign w:val="center"/>
          </w:tcPr>
          <w:p w14:paraId="33C61C6B" w14:textId="6B75CB9F" w:rsidR="009B104F" w:rsidRPr="00D40FF7" w:rsidRDefault="009B104F" w:rsidP="003F4404">
            <w:pPr>
              <w:jc w:val="center"/>
              <w:rPr>
                <w:rFonts w:ascii="Arial" w:hAnsi="Arial" w:cs="Arial"/>
                <w:sz w:val="19"/>
                <w:szCs w:val="19"/>
              </w:rPr>
            </w:pPr>
            <w:r w:rsidRPr="00D40FF7">
              <w:rPr>
                <w:rFonts w:ascii="Arial" w:hAnsi="Arial" w:cs="Arial"/>
                <w:sz w:val="19"/>
                <w:szCs w:val="19"/>
              </w:rPr>
              <w:t>ÁNO</w:t>
            </w:r>
          </w:p>
        </w:tc>
        <w:tc>
          <w:tcPr>
            <w:tcW w:w="3119" w:type="dxa"/>
          </w:tcPr>
          <w:p w14:paraId="523D0425" w14:textId="56BB5116" w:rsidR="009B104F" w:rsidRPr="00D40FF7" w:rsidRDefault="009B104F" w:rsidP="004C5142">
            <w:pPr>
              <w:rPr>
                <w:rFonts w:ascii="Arial" w:hAnsi="Arial" w:cs="Arial"/>
                <w:sz w:val="19"/>
                <w:szCs w:val="19"/>
              </w:rPr>
            </w:pPr>
            <w:r w:rsidRPr="00D40FF7">
              <w:rPr>
                <w:rFonts w:ascii="Arial" w:hAnsi="Arial" w:cs="Arial"/>
                <w:sz w:val="19"/>
                <w:szCs w:val="19"/>
              </w:rPr>
              <w:t>Výnimku tvoria prípady, ak predmet projektu nie je možné poistiť (</w:t>
            </w:r>
            <w:r w:rsidRPr="00AD6DD6">
              <w:rPr>
                <w:rFonts w:ascii="Arial" w:hAnsi="Arial" w:cs="Arial"/>
                <w:sz w:val="19"/>
                <w:szCs w:val="19"/>
              </w:rPr>
              <w:t xml:space="preserve">prijímateľ predloží poskytovateľovi </w:t>
            </w:r>
            <w:r w:rsidRPr="007B012D">
              <w:rPr>
                <w:rFonts w:ascii="Arial" w:hAnsi="Arial" w:cs="Arial"/>
                <w:sz w:val="19"/>
                <w:szCs w:val="19"/>
              </w:rPr>
              <w:t xml:space="preserve">potvrdenie </w:t>
            </w:r>
            <w:r w:rsidR="007910A2" w:rsidRPr="007B012D">
              <w:rPr>
                <w:rFonts w:ascii="Arial" w:hAnsi="Arial" w:cs="Arial"/>
                <w:sz w:val="19"/>
                <w:szCs w:val="19"/>
              </w:rPr>
              <w:t xml:space="preserve">minimálne </w:t>
            </w:r>
            <w:r w:rsidRPr="007B012D">
              <w:rPr>
                <w:rFonts w:ascii="Arial" w:hAnsi="Arial" w:cs="Arial"/>
                <w:sz w:val="19"/>
                <w:szCs w:val="19"/>
              </w:rPr>
              <w:t xml:space="preserve">od </w:t>
            </w:r>
            <w:r w:rsidR="007910A2" w:rsidRPr="007B012D">
              <w:rPr>
                <w:rFonts w:ascii="Arial" w:hAnsi="Arial" w:cs="Arial"/>
                <w:sz w:val="19"/>
                <w:szCs w:val="19"/>
              </w:rPr>
              <w:t xml:space="preserve">3 </w:t>
            </w:r>
            <w:r w:rsidRPr="007B012D">
              <w:rPr>
                <w:rFonts w:ascii="Arial" w:hAnsi="Arial" w:cs="Arial"/>
                <w:sz w:val="19"/>
                <w:szCs w:val="19"/>
              </w:rPr>
              <w:t>poisťovn</w:t>
            </w:r>
            <w:r w:rsidR="007910A2" w:rsidRPr="007B012D">
              <w:rPr>
                <w:rFonts w:ascii="Arial" w:hAnsi="Arial" w:cs="Arial"/>
                <w:sz w:val="19"/>
                <w:szCs w:val="19"/>
              </w:rPr>
              <w:t>í</w:t>
            </w:r>
            <w:r w:rsidR="00E308F3">
              <w:rPr>
                <w:rFonts w:ascii="Arial" w:hAnsi="Arial" w:cs="Arial"/>
                <w:sz w:val="19"/>
                <w:szCs w:val="19"/>
              </w:rPr>
              <w:t xml:space="preserve"> a súčasne vyplnenú Prílohu </w:t>
            </w:r>
            <w:r w:rsidR="00E308F3" w:rsidRPr="00D40FF7">
              <w:rPr>
                <w:rFonts w:ascii="Arial" w:hAnsi="Arial" w:cs="Arial"/>
                <w:sz w:val="19"/>
                <w:szCs w:val="19"/>
              </w:rPr>
              <w:t>4.16.2</w:t>
            </w:r>
            <w:r w:rsidR="00E308F3">
              <w:rPr>
                <w:rFonts w:ascii="Arial" w:hAnsi="Arial" w:cs="Arial"/>
                <w:sz w:val="19"/>
                <w:szCs w:val="19"/>
              </w:rPr>
              <w:t>.aa</w:t>
            </w:r>
            <w:r w:rsidRPr="007B012D">
              <w:rPr>
                <w:rFonts w:ascii="Arial" w:hAnsi="Arial" w:cs="Arial"/>
                <w:sz w:val="19"/>
                <w:szCs w:val="19"/>
              </w:rPr>
              <w:t>).</w:t>
            </w:r>
          </w:p>
        </w:tc>
      </w:tr>
      <w:tr w:rsidR="009B104F" w:rsidRPr="004476F4" w14:paraId="24EBAF35" w14:textId="77777777" w:rsidTr="006470D7">
        <w:trPr>
          <w:trHeight w:val="70"/>
        </w:trPr>
        <w:tc>
          <w:tcPr>
            <w:tcW w:w="4248" w:type="dxa"/>
            <w:vMerge w:val="restart"/>
          </w:tcPr>
          <w:p w14:paraId="2AC380B0" w14:textId="30A6DE15" w:rsidR="009B104F" w:rsidRPr="00D40FF7" w:rsidRDefault="009B104F">
            <w:pPr>
              <w:rPr>
                <w:rFonts w:ascii="Arial" w:hAnsi="Arial" w:cs="Arial"/>
                <w:sz w:val="19"/>
                <w:szCs w:val="19"/>
              </w:rPr>
            </w:pPr>
            <w:r w:rsidRPr="00D40FF7">
              <w:rPr>
                <w:rFonts w:ascii="Arial" w:hAnsi="Arial" w:cs="Arial"/>
                <w:b/>
                <w:bCs/>
                <w:sz w:val="19"/>
                <w:szCs w:val="19"/>
              </w:rPr>
              <w:t>Zariadenie a vybavenie</w:t>
            </w:r>
            <w:r w:rsidRPr="00D40FF7">
              <w:rPr>
                <w:rFonts w:ascii="Arial" w:hAnsi="Arial" w:cs="Arial"/>
                <w:sz w:val="19"/>
                <w:szCs w:val="19"/>
              </w:rPr>
              <w:t xml:space="preserve"> – </w:t>
            </w:r>
          </w:p>
          <w:p w14:paraId="3A206FF5" w14:textId="01D1F4F0" w:rsidR="009B104F" w:rsidRPr="00D40FF7" w:rsidRDefault="009B104F">
            <w:pPr>
              <w:rPr>
                <w:rFonts w:ascii="Arial" w:hAnsi="Arial" w:cs="Arial"/>
                <w:sz w:val="19"/>
                <w:szCs w:val="19"/>
              </w:rPr>
            </w:pPr>
            <w:r w:rsidRPr="00D40FF7">
              <w:rPr>
                <w:rFonts w:ascii="Arial" w:hAnsi="Arial" w:cs="Arial"/>
                <w:sz w:val="19"/>
                <w:szCs w:val="19"/>
              </w:rPr>
              <w:lastRenderedPageBreak/>
              <w:t xml:space="preserve">IKT vybavenie, počítače, zobrazovacie jednotky, tlačiarne, scannery, dataprojektory, 3D tlačiarne nabíjacie stanice, čistiarne odpadových vôd, verejné osvetlenie a kamerový systém, mestský mobiliár (lavičky, smetné koše a nádoby, prístrešky, pódiá, cyklostojany, informačné prvky, a pod.) materiálno-technické vybavenie školskej jedálne. </w:t>
            </w:r>
          </w:p>
        </w:tc>
        <w:tc>
          <w:tcPr>
            <w:tcW w:w="4252" w:type="dxa"/>
          </w:tcPr>
          <w:p w14:paraId="1C231D0F" w14:textId="12A12580" w:rsidR="009B104F" w:rsidRPr="00D40FF7" w:rsidRDefault="009B104F">
            <w:pPr>
              <w:rPr>
                <w:rFonts w:ascii="Arial" w:hAnsi="Arial" w:cs="Arial"/>
                <w:b/>
                <w:bCs/>
                <w:sz w:val="19"/>
                <w:szCs w:val="19"/>
              </w:rPr>
            </w:pPr>
            <w:r w:rsidRPr="00D40FF7">
              <w:rPr>
                <w:rFonts w:ascii="Arial" w:hAnsi="Arial" w:cs="Arial"/>
                <w:b/>
                <w:bCs/>
                <w:sz w:val="19"/>
                <w:szCs w:val="19"/>
              </w:rPr>
              <w:lastRenderedPageBreak/>
              <w:t>Subjekty verejnej správy</w:t>
            </w:r>
            <w:r w:rsidRPr="00D40FF7">
              <w:rPr>
                <w:rStyle w:val="Odkaznapoznmkupodiarou"/>
                <w:rFonts w:ascii="Arial" w:hAnsi="Arial" w:cs="Arial"/>
                <w:sz w:val="19"/>
                <w:szCs w:val="19"/>
              </w:rPr>
              <w:t>1</w:t>
            </w:r>
          </w:p>
          <w:p w14:paraId="3EC18264" w14:textId="77777777" w:rsidR="009B104F" w:rsidRPr="00D40FF7" w:rsidRDefault="009B104F">
            <w:pPr>
              <w:rPr>
                <w:rFonts w:ascii="Arial" w:hAnsi="Arial" w:cs="Arial"/>
                <w:sz w:val="19"/>
                <w:szCs w:val="19"/>
              </w:rPr>
            </w:pPr>
          </w:p>
          <w:p w14:paraId="0973D6E2" w14:textId="269B496E" w:rsidR="009B104F" w:rsidRPr="00D40FF7" w:rsidRDefault="009B104F" w:rsidP="00103F72">
            <w:pPr>
              <w:rPr>
                <w:rFonts w:ascii="Arial" w:hAnsi="Arial" w:cs="Arial"/>
                <w:sz w:val="19"/>
                <w:szCs w:val="19"/>
              </w:rPr>
            </w:pPr>
            <w:r w:rsidRPr="00D40FF7">
              <w:rPr>
                <w:rFonts w:ascii="Arial" w:hAnsi="Arial" w:cs="Arial"/>
                <w:sz w:val="19"/>
                <w:szCs w:val="19"/>
              </w:rPr>
              <w:lastRenderedPageBreak/>
              <w:br/>
            </w:r>
            <w:r w:rsidRPr="00D40FF7">
              <w:rPr>
                <w:rFonts w:ascii="Arial" w:hAnsi="Arial" w:cs="Arial"/>
                <w:sz w:val="19"/>
                <w:szCs w:val="19"/>
              </w:rPr>
              <w:br/>
            </w:r>
            <w:r w:rsidRPr="00D40FF7">
              <w:rPr>
                <w:rFonts w:ascii="Arial" w:hAnsi="Arial" w:cs="Arial"/>
                <w:sz w:val="19"/>
                <w:szCs w:val="19"/>
              </w:rPr>
              <w:br/>
            </w:r>
            <w:r w:rsidRPr="00D40FF7">
              <w:rPr>
                <w:rFonts w:ascii="Arial" w:hAnsi="Arial" w:cs="Arial"/>
                <w:sz w:val="19"/>
                <w:szCs w:val="19"/>
              </w:rPr>
              <w:br/>
            </w:r>
            <w:r w:rsidRPr="00D40FF7">
              <w:rPr>
                <w:rFonts w:ascii="Arial" w:hAnsi="Arial" w:cs="Arial"/>
                <w:sz w:val="19"/>
                <w:szCs w:val="19"/>
              </w:rPr>
              <w:br/>
            </w:r>
            <w:r w:rsidRPr="00D40FF7">
              <w:rPr>
                <w:rFonts w:ascii="Arial" w:hAnsi="Arial" w:cs="Arial"/>
                <w:sz w:val="19"/>
                <w:szCs w:val="19"/>
              </w:rPr>
              <w:br/>
            </w:r>
            <w:r w:rsidRPr="00D40FF7">
              <w:rPr>
                <w:rFonts w:ascii="Arial" w:hAnsi="Arial" w:cs="Arial"/>
                <w:sz w:val="19"/>
                <w:szCs w:val="19"/>
              </w:rPr>
              <w:br/>
            </w:r>
          </w:p>
        </w:tc>
        <w:tc>
          <w:tcPr>
            <w:tcW w:w="2268" w:type="dxa"/>
            <w:vAlign w:val="center"/>
          </w:tcPr>
          <w:p w14:paraId="6B021D53" w14:textId="77777777" w:rsidR="003F4404" w:rsidRPr="00D40FF7" w:rsidRDefault="009B104F" w:rsidP="003F4404">
            <w:pPr>
              <w:jc w:val="center"/>
              <w:rPr>
                <w:rFonts w:ascii="Arial" w:hAnsi="Arial" w:cs="Arial"/>
                <w:sz w:val="19"/>
                <w:szCs w:val="19"/>
              </w:rPr>
            </w:pPr>
            <w:r w:rsidRPr="00D40FF7">
              <w:rPr>
                <w:rFonts w:ascii="Arial" w:hAnsi="Arial" w:cs="Arial"/>
                <w:sz w:val="19"/>
                <w:szCs w:val="19"/>
              </w:rPr>
              <w:lastRenderedPageBreak/>
              <w:t>NIE</w:t>
            </w:r>
            <w:r w:rsidRPr="00D40FF7">
              <w:rPr>
                <w:rFonts w:ascii="Arial" w:hAnsi="Arial" w:cs="Arial"/>
                <w:sz w:val="19"/>
                <w:szCs w:val="19"/>
              </w:rPr>
              <w:br/>
            </w:r>
          </w:p>
          <w:p w14:paraId="3C075D84" w14:textId="22549AF8" w:rsidR="009B104F" w:rsidRPr="00D40FF7" w:rsidRDefault="009B104F" w:rsidP="006470D7">
            <w:pPr>
              <w:jc w:val="center"/>
              <w:rPr>
                <w:rFonts w:ascii="Arial" w:hAnsi="Arial" w:cs="Arial"/>
                <w:sz w:val="19"/>
                <w:szCs w:val="19"/>
              </w:rPr>
            </w:pPr>
            <w:r w:rsidRPr="00D40FF7">
              <w:rPr>
                <w:rFonts w:ascii="Arial" w:hAnsi="Arial" w:cs="Arial"/>
                <w:sz w:val="19"/>
                <w:szCs w:val="19"/>
              </w:rPr>
              <w:lastRenderedPageBreak/>
              <w:t>Podmienkou je záväzok prijímateľa vrátiť poškodený</w:t>
            </w:r>
            <w:r w:rsidR="007910A2" w:rsidRPr="00D40FF7">
              <w:rPr>
                <w:rFonts w:ascii="Arial" w:hAnsi="Arial" w:cs="Arial"/>
                <w:sz w:val="19"/>
                <w:szCs w:val="19"/>
              </w:rPr>
              <w:t>, zničený</w:t>
            </w:r>
            <w:r w:rsidR="00CD2FB2">
              <w:rPr>
                <w:rFonts w:ascii="Arial" w:hAnsi="Arial" w:cs="Arial"/>
                <w:sz w:val="19"/>
                <w:szCs w:val="19"/>
              </w:rPr>
              <w:t>,</w:t>
            </w:r>
            <w:r w:rsidR="007910A2" w:rsidRPr="00D40FF7">
              <w:rPr>
                <w:rFonts w:ascii="Arial" w:hAnsi="Arial" w:cs="Arial"/>
                <w:sz w:val="19"/>
                <w:szCs w:val="19"/>
              </w:rPr>
              <w:t xml:space="preserve"> </w:t>
            </w:r>
            <w:r w:rsidR="00CD2FB2" w:rsidRPr="00D40FF7">
              <w:rPr>
                <w:rFonts w:ascii="Arial" w:hAnsi="Arial" w:cs="Arial"/>
                <w:sz w:val="19"/>
                <w:szCs w:val="19"/>
              </w:rPr>
              <w:t xml:space="preserve">odcudzený </w:t>
            </w:r>
            <w:r w:rsidR="007910A2" w:rsidRPr="00D40FF7">
              <w:rPr>
                <w:rFonts w:ascii="Arial" w:hAnsi="Arial" w:cs="Arial"/>
                <w:sz w:val="19"/>
                <w:szCs w:val="19"/>
              </w:rPr>
              <w:t xml:space="preserve">alebo </w:t>
            </w:r>
            <w:r w:rsidR="00CD2FB2">
              <w:rPr>
                <w:rFonts w:ascii="Arial" w:hAnsi="Arial" w:cs="Arial"/>
                <w:sz w:val="19"/>
                <w:szCs w:val="19"/>
              </w:rPr>
              <w:t xml:space="preserve">stratený </w:t>
            </w:r>
            <w:r w:rsidRPr="00D40FF7">
              <w:rPr>
                <w:rFonts w:ascii="Arial" w:hAnsi="Arial" w:cs="Arial"/>
                <w:sz w:val="19"/>
                <w:szCs w:val="19"/>
              </w:rPr>
              <w:t xml:space="preserve">majetok nadobudnutý z NFP do pôvodného stavu na vlastné náklady </w:t>
            </w:r>
            <w:r w:rsidR="00EC0500" w:rsidRPr="00D40FF7">
              <w:rPr>
                <w:rFonts w:ascii="Arial" w:hAnsi="Arial" w:cs="Arial"/>
                <w:sz w:val="19"/>
                <w:szCs w:val="19"/>
              </w:rPr>
              <w:br/>
            </w:r>
            <w:r w:rsidRPr="00D40FF7">
              <w:rPr>
                <w:rFonts w:ascii="Arial" w:hAnsi="Arial" w:cs="Arial"/>
                <w:sz w:val="19"/>
                <w:szCs w:val="19"/>
              </w:rPr>
              <w:t>(</w:t>
            </w:r>
            <w:r w:rsidR="00EC0500" w:rsidRPr="00D40FF7">
              <w:rPr>
                <w:rFonts w:ascii="Arial" w:hAnsi="Arial" w:cs="Arial"/>
                <w:sz w:val="19"/>
                <w:szCs w:val="19"/>
              </w:rPr>
              <w:t>Príloha 4.16.2</w:t>
            </w:r>
            <w:r w:rsidR="007910A2" w:rsidRPr="00D40FF7">
              <w:rPr>
                <w:rFonts w:ascii="Arial" w:hAnsi="Arial" w:cs="Arial"/>
                <w:sz w:val="19"/>
                <w:szCs w:val="19"/>
              </w:rPr>
              <w:t>.</w:t>
            </w:r>
            <w:r w:rsidR="00EC0500" w:rsidRPr="00D40FF7">
              <w:rPr>
                <w:rFonts w:ascii="Arial" w:hAnsi="Arial" w:cs="Arial"/>
                <w:sz w:val="19"/>
                <w:szCs w:val="19"/>
              </w:rPr>
              <w:t>a</w:t>
            </w:r>
            <w:r w:rsidRPr="00D40FF7">
              <w:rPr>
                <w:rFonts w:ascii="Arial" w:hAnsi="Arial" w:cs="Arial"/>
                <w:sz w:val="19"/>
                <w:szCs w:val="19"/>
              </w:rPr>
              <w:t xml:space="preserve">) </w:t>
            </w:r>
          </w:p>
        </w:tc>
        <w:tc>
          <w:tcPr>
            <w:tcW w:w="3119" w:type="dxa"/>
          </w:tcPr>
          <w:p w14:paraId="019B5A63" w14:textId="4BCE5BCE" w:rsidR="009B104F" w:rsidRPr="00D40FF7" w:rsidRDefault="009B104F">
            <w:pPr>
              <w:rPr>
                <w:rFonts w:ascii="Arial" w:hAnsi="Arial" w:cs="Arial"/>
                <w:sz w:val="19"/>
                <w:szCs w:val="19"/>
              </w:rPr>
            </w:pPr>
          </w:p>
        </w:tc>
      </w:tr>
      <w:tr w:rsidR="009B104F" w:rsidRPr="004476F4" w14:paraId="1FD37F21" w14:textId="77777777" w:rsidTr="006470D7">
        <w:trPr>
          <w:trHeight w:val="1425"/>
        </w:trPr>
        <w:tc>
          <w:tcPr>
            <w:tcW w:w="4248" w:type="dxa"/>
            <w:vMerge/>
          </w:tcPr>
          <w:p w14:paraId="34EAFB61" w14:textId="77777777" w:rsidR="009B104F" w:rsidRPr="00D40FF7" w:rsidRDefault="009B104F">
            <w:pPr>
              <w:rPr>
                <w:rFonts w:ascii="Arial" w:hAnsi="Arial" w:cs="Arial"/>
                <w:b/>
                <w:bCs/>
                <w:sz w:val="19"/>
                <w:szCs w:val="19"/>
              </w:rPr>
            </w:pPr>
          </w:p>
        </w:tc>
        <w:tc>
          <w:tcPr>
            <w:tcW w:w="4252" w:type="dxa"/>
          </w:tcPr>
          <w:p w14:paraId="35BA7648" w14:textId="23F45AA9" w:rsidR="009B104F" w:rsidRPr="00D40FF7" w:rsidRDefault="009B104F" w:rsidP="00AD3E79">
            <w:pPr>
              <w:rPr>
                <w:rFonts w:ascii="Arial" w:hAnsi="Arial" w:cs="Arial"/>
                <w:b/>
                <w:bCs/>
                <w:sz w:val="19"/>
                <w:szCs w:val="19"/>
              </w:rPr>
            </w:pPr>
            <w:r w:rsidRPr="00D40FF7">
              <w:rPr>
                <w:rFonts w:ascii="Arial" w:hAnsi="Arial" w:cs="Arial"/>
                <w:b/>
                <w:bCs/>
                <w:sz w:val="19"/>
                <w:szCs w:val="19"/>
              </w:rPr>
              <w:t>Ostatní prijímatelia</w:t>
            </w:r>
            <w:r w:rsidRPr="00D40FF7">
              <w:rPr>
                <w:rFonts w:ascii="Arial" w:hAnsi="Arial" w:cs="Arial"/>
                <w:b/>
                <w:bCs/>
                <w:sz w:val="19"/>
                <w:szCs w:val="19"/>
                <w:vertAlign w:val="superscript"/>
              </w:rPr>
              <w:t>2</w:t>
            </w:r>
          </w:p>
        </w:tc>
        <w:tc>
          <w:tcPr>
            <w:tcW w:w="2268" w:type="dxa"/>
            <w:vAlign w:val="center"/>
          </w:tcPr>
          <w:p w14:paraId="4D586AEB" w14:textId="6545E823" w:rsidR="009B104F" w:rsidRPr="00D40FF7" w:rsidRDefault="009B104F" w:rsidP="003F4404">
            <w:pPr>
              <w:jc w:val="center"/>
              <w:rPr>
                <w:rFonts w:ascii="Arial" w:hAnsi="Arial" w:cs="Arial"/>
                <w:sz w:val="19"/>
                <w:szCs w:val="19"/>
              </w:rPr>
            </w:pPr>
            <w:r w:rsidRPr="00D40FF7">
              <w:rPr>
                <w:rFonts w:ascii="Arial" w:hAnsi="Arial" w:cs="Arial"/>
                <w:sz w:val="19"/>
                <w:szCs w:val="19"/>
              </w:rPr>
              <w:t>ÁNO</w:t>
            </w:r>
          </w:p>
        </w:tc>
        <w:tc>
          <w:tcPr>
            <w:tcW w:w="3119" w:type="dxa"/>
          </w:tcPr>
          <w:p w14:paraId="540A8D24" w14:textId="5E55A08B" w:rsidR="009B104F" w:rsidRPr="00D40FF7" w:rsidDel="00372A51" w:rsidRDefault="009B104F" w:rsidP="00AD3E79">
            <w:pPr>
              <w:rPr>
                <w:rFonts w:ascii="Arial" w:hAnsi="Arial" w:cs="Arial"/>
                <w:sz w:val="19"/>
                <w:szCs w:val="19"/>
              </w:rPr>
            </w:pPr>
            <w:r w:rsidRPr="00D40FF7">
              <w:rPr>
                <w:rFonts w:ascii="Arial" w:hAnsi="Arial" w:cs="Arial"/>
                <w:sz w:val="19"/>
                <w:szCs w:val="19"/>
              </w:rPr>
              <w:t>Výnimku tvoria prípady, ak predmet projektu nie je možné poistiť (</w:t>
            </w:r>
            <w:r w:rsidRPr="00AD6DD6">
              <w:rPr>
                <w:rFonts w:ascii="Arial" w:hAnsi="Arial" w:cs="Arial"/>
                <w:sz w:val="19"/>
                <w:szCs w:val="19"/>
              </w:rPr>
              <w:t xml:space="preserve">prijímateľ predloží poskytovateľovi </w:t>
            </w:r>
            <w:r w:rsidRPr="007B012D">
              <w:rPr>
                <w:rFonts w:ascii="Arial" w:hAnsi="Arial" w:cs="Arial"/>
                <w:sz w:val="19"/>
                <w:szCs w:val="19"/>
              </w:rPr>
              <w:t xml:space="preserve">potvrdenie </w:t>
            </w:r>
            <w:r w:rsidR="007910A2" w:rsidRPr="007B012D">
              <w:rPr>
                <w:rFonts w:ascii="Arial" w:hAnsi="Arial" w:cs="Arial"/>
                <w:sz w:val="19"/>
                <w:szCs w:val="19"/>
              </w:rPr>
              <w:t xml:space="preserve">minimálne </w:t>
            </w:r>
            <w:r w:rsidRPr="007B012D">
              <w:rPr>
                <w:rFonts w:ascii="Arial" w:hAnsi="Arial" w:cs="Arial"/>
                <w:sz w:val="19"/>
                <w:szCs w:val="19"/>
              </w:rPr>
              <w:t xml:space="preserve">od </w:t>
            </w:r>
            <w:r w:rsidR="007910A2" w:rsidRPr="007B012D">
              <w:rPr>
                <w:rFonts w:ascii="Arial" w:hAnsi="Arial" w:cs="Arial"/>
                <w:sz w:val="19"/>
                <w:szCs w:val="19"/>
              </w:rPr>
              <w:t xml:space="preserve">3 </w:t>
            </w:r>
            <w:r w:rsidRPr="007B012D">
              <w:rPr>
                <w:rFonts w:ascii="Arial" w:hAnsi="Arial" w:cs="Arial"/>
                <w:sz w:val="19"/>
                <w:szCs w:val="19"/>
              </w:rPr>
              <w:t>poisťovn</w:t>
            </w:r>
            <w:r w:rsidR="007910A2" w:rsidRPr="007B012D">
              <w:rPr>
                <w:rFonts w:ascii="Arial" w:hAnsi="Arial" w:cs="Arial"/>
                <w:sz w:val="19"/>
                <w:szCs w:val="19"/>
              </w:rPr>
              <w:t>í</w:t>
            </w:r>
            <w:r w:rsidR="00E308F3">
              <w:rPr>
                <w:rFonts w:ascii="Arial" w:hAnsi="Arial" w:cs="Arial"/>
                <w:sz w:val="19"/>
                <w:szCs w:val="19"/>
              </w:rPr>
              <w:t xml:space="preserve"> a súčasne vyplnenú Prílohu </w:t>
            </w:r>
            <w:r w:rsidR="00E308F3" w:rsidRPr="00D40FF7">
              <w:rPr>
                <w:rFonts w:ascii="Arial" w:hAnsi="Arial" w:cs="Arial"/>
                <w:sz w:val="19"/>
                <w:szCs w:val="19"/>
              </w:rPr>
              <w:t>4.16.2</w:t>
            </w:r>
            <w:r w:rsidR="00E308F3">
              <w:rPr>
                <w:rFonts w:ascii="Arial" w:hAnsi="Arial" w:cs="Arial"/>
                <w:sz w:val="19"/>
                <w:szCs w:val="19"/>
              </w:rPr>
              <w:t>.aa</w:t>
            </w:r>
            <w:r w:rsidRPr="007B012D">
              <w:rPr>
                <w:rFonts w:ascii="Arial" w:hAnsi="Arial" w:cs="Arial"/>
                <w:sz w:val="19"/>
                <w:szCs w:val="19"/>
              </w:rPr>
              <w:t>).</w:t>
            </w:r>
          </w:p>
        </w:tc>
      </w:tr>
      <w:tr w:rsidR="009B104F" w:rsidRPr="004476F4" w14:paraId="06B41C3B" w14:textId="77777777" w:rsidTr="006470D7">
        <w:tc>
          <w:tcPr>
            <w:tcW w:w="4248" w:type="dxa"/>
          </w:tcPr>
          <w:p w14:paraId="296A8D86" w14:textId="306D358C" w:rsidR="009B104F" w:rsidRPr="00D40FF7" w:rsidRDefault="009B104F">
            <w:pPr>
              <w:rPr>
                <w:rFonts w:ascii="Arial" w:hAnsi="Arial" w:cs="Arial"/>
                <w:sz w:val="19"/>
                <w:szCs w:val="19"/>
              </w:rPr>
            </w:pPr>
            <w:r w:rsidRPr="00D40FF7">
              <w:rPr>
                <w:rFonts w:ascii="Arial" w:hAnsi="Arial" w:cs="Arial"/>
                <w:b/>
                <w:bCs/>
                <w:sz w:val="19"/>
                <w:szCs w:val="19"/>
              </w:rPr>
              <w:t>Terénne úpravy</w:t>
            </w:r>
            <w:r w:rsidRPr="00D40FF7">
              <w:rPr>
                <w:rFonts w:ascii="Arial" w:hAnsi="Arial" w:cs="Arial"/>
                <w:sz w:val="19"/>
                <w:szCs w:val="19"/>
              </w:rPr>
              <w:t xml:space="preserve"> – tvorba nových zelených  priestorov aj revitalizácia a úprava už existujúcich:</w:t>
            </w:r>
            <w:r w:rsidRPr="00D40FF7">
              <w:rPr>
                <w:rFonts w:ascii="Arial" w:hAnsi="Arial" w:cs="Arial"/>
                <w:sz w:val="19"/>
                <w:szCs w:val="19"/>
              </w:rPr>
              <w:br/>
              <w:t>parky, parčíky, verejné priestranstvá, námestia, nábrežia, pešie zóny, líniová zeleň pri komunikáciách, greenways, historická zeleň, zeleň pri občianskej vybavenosti, kvetinové záhony, vegetačné úpravy, regenerácia vnútroblokov sídlisk, revitalizácia mestských lesov a lesoparkov, podpora zberných jazierok a iných retenčných plôch, podpora umelo vytvorených vodných prvkov, realizácia zelených striech, zelených stien a zelene na budovách a konštrukciách (vertikálna zeleň).</w:t>
            </w:r>
          </w:p>
        </w:tc>
        <w:tc>
          <w:tcPr>
            <w:tcW w:w="4252" w:type="dxa"/>
          </w:tcPr>
          <w:p w14:paraId="77C40C51" w14:textId="77777777" w:rsidR="009B104F" w:rsidRPr="00D40FF7" w:rsidRDefault="009B104F">
            <w:pPr>
              <w:rPr>
                <w:rFonts w:ascii="Arial" w:hAnsi="Arial" w:cs="Arial"/>
                <w:sz w:val="19"/>
                <w:szCs w:val="19"/>
              </w:rPr>
            </w:pPr>
          </w:p>
        </w:tc>
        <w:tc>
          <w:tcPr>
            <w:tcW w:w="2268" w:type="dxa"/>
            <w:vAlign w:val="center"/>
          </w:tcPr>
          <w:p w14:paraId="3561520C" w14:textId="5BB7537E" w:rsidR="003F4404" w:rsidRPr="00D40FF7" w:rsidRDefault="009B104F" w:rsidP="003F4404">
            <w:pPr>
              <w:jc w:val="center"/>
              <w:rPr>
                <w:rFonts w:ascii="Arial" w:hAnsi="Arial" w:cs="Arial"/>
                <w:sz w:val="19"/>
                <w:szCs w:val="19"/>
              </w:rPr>
            </w:pPr>
            <w:r w:rsidRPr="00D40FF7">
              <w:rPr>
                <w:rFonts w:ascii="Arial" w:hAnsi="Arial" w:cs="Arial"/>
                <w:sz w:val="19"/>
                <w:szCs w:val="19"/>
              </w:rPr>
              <w:t>NIE</w:t>
            </w:r>
            <w:r w:rsidRPr="00D40FF7">
              <w:rPr>
                <w:rFonts w:ascii="Arial" w:hAnsi="Arial" w:cs="Arial"/>
                <w:sz w:val="19"/>
                <w:szCs w:val="19"/>
              </w:rPr>
              <w:br/>
            </w:r>
          </w:p>
          <w:p w14:paraId="371979EF" w14:textId="1094BE9D" w:rsidR="009B104F" w:rsidRPr="00D40FF7" w:rsidRDefault="009B104F" w:rsidP="003F4404">
            <w:pPr>
              <w:jc w:val="center"/>
              <w:rPr>
                <w:rFonts w:ascii="Arial" w:hAnsi="Arial" w:cs="Arial"/>
                <w:sz w:val="19"/>
                <w:szCs w:val="19"/>
              </w:rPr>
            </w:pPr>
            <w:r w:rsidRPr="00D40FF7">
              <w:rPr>
                <w:rFonts w:ascii="Arial" w:hAnsi="Arial" w:cs="Arial"/>
                <w:sz w:val="19"/>
                <w:szCs w:val="19"/>
              </w:rPr>
              <w:t>pre všetkých prijímateľov</w:t>
            </w:r>
          </w:p>
        </w:tc>
        <w:tc>
          <w:tcPr>
            <w:tcW w:w="3119" w:type="dxa"/>
          </w:tcPr>
          <w:p w14:paraId="67679F10" w14:textId="49EED481" w:rsidR="009B104F" w:rsidRPr="00D40FF7" w:rsidRDefault="009B104F">
            <w:pPr>
              <w:rPr>
                <w:rFonts w:ascii="Arial" w:hAnsi="Arial" w:cs="Arial"/>
                <w:sz w:val="19"/>
                <w:szCs w:val="19"/>
              </w:rPr>
            </w:pPr>
          </w:p>
        </w:tc>
      </w:tr>
      <w:tr w:rsidR="009B104F" w:rsidRPr="004476F4" w14:paraId="7E675304" w14:textId="77777777" w:rsidTr="006470D7">
        <w:trPr>
          <w:trHeight w:val="4006"/>
        </w:trPr>
        <w:tc>
          <w:tcPr>
            <w:tcW w:w="4248" w:type="dxa"/>
          </w:tcPr>
          <w:p w14:paraId="6373159E" w14:textId="3352E317" w:rsidR="009B104F" w:rsidRPr="00D40FF7" w:rsidRDefault="009B104F" w:rsidP="006E77DD">
            <w:pPr>
              <w:rPr>
                <w:rFonts w:ascii="Arial" w:hAnsi="Arial" w:cs="Arial"/>
                <w:b/>
                <w:bCs/>
                <w:sz w:val="19"/>
                <w:szCs w:val="19"/>
              </w:rPr>
            </w:pPr>
            <w:r w:rsidRPr="00D40FF7">
              <w:rPr>
                <w:rFonts w:ascii="Arial" w:hAnsi="Arial" w:cs="Arial"/>
                <w:b/>
                <w:bCs/>
                <w:sz w:val="19"/>
                <w:szCs w:val="19"/>
              </w:rPr>
              <w:lastRenderedPageBreak/>
              <w:t xml:space="preserve">Kultúrne pamiatky </w:t>
            </w:r>
            <w:r w:rsidRPr="00D40FF7">
              <w:rPr>
                <w:rFonts w:ascii="Arial" w:hAnsi="Arial" w:cs="Arial"/>
                <w:sz w:val="19"/>
                <w:szCs w:val="19"/>
              </w:rPr>
              <w:t>–</w:t>
            </w:r>
            <w:r w:rsidR="000C7722" w:rsidRPr="00D40FF7">
              <w:rPr>
                <w:rFonts w:ascii="Arial" w:hAnsi="Arial" w:cs="Arial"/>
                <w:sz w:val="19"/>
                <w:szCs w:val="19"/>
              </w:rPr>
              <w:t xml:space="preserve"> </w:t>
            </w:r>
            <w:r w:rsidRPr="00D40FF7">
              <w:rPr>
                <w:rFonts w:ascii="Arial" w:hAnsi="Arial" w:cs="Arial"/>
                <w:sz w:val="19"/>
                <w:szCs w:val="19"/>
              </w:rPr>
              <w:t xml:space="preserve"> archeologický výskum, reštaurátorské práce, rekonštrukcia, obnova stavieb,  stavebné rekonštrukcie interiérov súvisiacich so špecifickou infraštruktúrou kultúrnych inštitúcií, národných kultúrnych pamiatok, pamiatkových objektov, zníženie energetickej náročnosti budov, zateplenie/oprava strechy, výmena okien, bezpečnostných dverí, elektroinštalácie, vodoinštalácie, kabeláže, ozvučenia interiéru, stavebné a rekonštrukčné práce, nové expozície - obnova historických a umeleckých prvkov</w:t>
            </w:r>
            <w:r w:rsidR="007910A2" w:rsidRPr="00D40FF7">
              <w:rPr>
                <w:rFonts w:ascii="Arial" w:hAnsi="Arial" w:cs="Arial"/>
                <w:sz w:val="19"/>
                <w:szCs w:val="19"/>
              </w:rPr>
              <w:t>.</w:t>
            </w:r>
          </w:p>
        </w:tc>
        <w:tc>
          <w:tcPr>
            <w:tcW w:w="4252" w:type="dxa"/>
          </w:tcPr>
          <w:p w14:paraId="51113C3E" w14:textId="77777777" w:rsidR="009B104F" w:rsidRPr="00D40FF7" w:rsidRDefault="009B104F">
            <w:pPr>
              <w:rPr>
                <w:rFonts w:ascii="Arial" w:hAnsi="Arial" w:cs="Arial"/>
                <w:sz w:val="19"/>
                <w:szCs w:val="19"/>
              </w:rPr>
            </w:pPr>
          </w:p>
        </w:tc>
        <w:tc>
          <w:tcPr>
            <w:tcW w:w="2268" w:type="dxa"/>
            <w:vAlign w:val="center"/>
          </w:tcPr>
          <w:p w14:paraId="34380E6F" w14:textId="0BCDD8A3" w:rsidR="007910A2" w:rsidRPr="00D40FF7" w:rsidRDefault="009B104F" w:rsidP="004476F4">
            <w:pPr>
              <w:jc w:val="center"/>
              <w:rPr>
                <w:rFonts w:ascii="Arial" w:hAnsi="Arial" w:cs="Arial"/>
                <w:sz w:val="19"/>
                <w:szCs w:val="19"/>
              </w:rPr>
            </w:pPr>
            <w:r w:rsidRPr="00D40FF7">
              <w:rPr>
                <w:rFonts w:ascii="Arial" w:hAnsi="Arial" w:cs="Arial"/>
                <w:sz w:val="19"/>
                <w:szCs w:val="19"/>
              </w:rPr>
              <w:t xml:space="preserve">NIE   </w:t>
            </w:r>
            <w:r w:rsidRPr="00D40FF7">
              <w:rPr>
                <w:rFonts w:ascii="Arial" w:hAnsi="Arial" w:cs="Arial"/>
                <w:sz w:val="19"/>
                <w:szCs w:val="19"/>
              </w:rPr>
              <w:br/>
            </w:r>
          </w:p>
          <w:p w14:paraId="1D40FB4E" w14:textId="31E834A3" w:rsidR="009B104F" w:rsidRPr="00D40FF7" w:rsidRDefault="009B104F" w:rsidP="004476F4">
            <w:pPr>
              <w:jc w:val="center"/>
              <w:rPr>
                <w:rFonts w:ascii="Arial" w:hAnsi="Arial" w:cs="Arial"/>
                <w:sz w:val="19"/>
                <w:szCs w:val="19"/>
              </w:rPr>
            </w:pPr>
            <w:r w:rsidRPr="00D40FF7">
              <w:rPr>
                <w:rFonts w:ascii="Arial" w:hAnsi="Arial" w:cs="Arial"/>
                <w:sz w:val="19"/>
                <w:szCs w:val="19"/>
              </w:rPr>
              <w:t>pre všetkých prijímateľov</w:t>
            </w:r>
          </w:p>
        </w:tc>
        <w:tc>
          <w:tcPr>
            <w:tcW w:w="3119" w:type="dxa"/>
          </w:tcPr>
          <w:p w14:paraId="60F59E93" w14:textId="4858CDB1" w:rsidR="009B104F" w:rsidRPr="00D40FF7" w:rsidRDefault="007A1CA8" w:rsidP="007910A2">
            <w:pPr>
              <w:rPr>
                <w:rFonts w:ascii="Arial" w:hAnsi="Arial" w:cs="Arial"/>
                <w:sz w:val="19"/>
                <w:szCs w:val="19"/>
              </w:rPr>
            </w:pPr>
            <w:r w:rsidRPr="00D40FF7">
              <w:rPr>
                <w:rFonts w:ascii="Arial" w:hAnsi="Arial" w:cs="Arial"/>
                <w:sz w:val="19"/>
                <w:szCs w:val="19"/>
              </w:rPr>
              <w:t xml:space="preserve"> </w:t>
            </w:r>
          </w:p>
        </w:tc>
      </w:tr>
    </w:tbl>
    <w:p w14:paraId="647D8B88" w14:textId="77777777" w:rsidR="006E77DD" w:rsidRPr="006E77DD" w:rsidRDefault="006E77DD" w:rsidP="00AD4A5E">
      <w:pPr>
        <w:tabs>
          <w:tab w:val="left" w:pos="1528"/>
        </w:tabs>
      </w:pPr>
    </w:p>
    <w:sectPr w:rsidR="006E77DD" w:rsidRPr="006E77DD" w:rsidSect="00100033">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8499E" w14:textId="77777777" w:rsidR="00C41C7A" w:rsidRDefault="00C41C7A" w:rsidP="00372A51">
      <w:pPr>
        <w:spacing w:after="0" w:line="240" w:lineRule="auto"/>
      </w:pPr>
      <w:r>
        <w:separator/>
      </w:r>
    </w:p>
  </w:endnote>
  <w:endnote w:type="continuationSeparator" w:id="0">
    <w:p w14:paraId="38A36669" w14:textId="77777777" w:rsidR="00C41C7A" w:rsidRDefault="00C41C7A" w:rsidP="00372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35823" w14:textId="77777777" w:rsidR="00A5019F" w:rsidRDefault="00A5019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6584178"/>
      <w:docPartObj>
        <w:docPartGallery w:val="Page Numbers (Bottom of Page)"/>
        <w:docPartUnique/>
      </w:docPartObj>
    </w:sdtPr>
    <w:sdtEndPr/>
    <w:sdtContent>
      <w:p w14:paraId="250033FB" w14:textId="52909306" w:rsidR="007910A2" w:rsidRDefault="007910A2">
        <w:pPr>
          <w:pStyle w:val="Pta"/>
          <w:jc w:val="right"/>
        </w:pPr>
        <w:r>
          <w:fldChar w:fldCharType="begin"/>
        </w:r>
        <w:r>
          <w:instrText>PAGE   \* MERGEFORMAT</w:instrText>
        </w:r>
        <w:r>
          <w:fldChar w:fldCharType="separate"/>
        </w:r>
        <w:r>
          <w:t>2</w:t>
        </w:r>
        <w:r>
          <w:fldChar w:fldCharType="end"/>
        </w:r>
      </w:p>
    </w:sdtContent>
  </w:sdt>
  <w:p w14:paraId="0F60173B" w14:textId="77777777" w:rsidR="007910A2" w:rsidRDefault="007910A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8ECA" w14:textId="77777777" w:rsidR="00A5019F" w:rsidRDefault="00A5019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A5673" w14:textId="77777777" w:rsidR="00C41C7A" w:rsidRDefault="00C41C7A" w:rsidP="00372A51">
      <w:pPr>
        <w:spacing w:after="0" w:line="240" w:lineRule="auto"/>
      </w:pPr>
      <w:bookmarkStart w:id="0" w:name="_Hlk213334107"/>
      <w:bookmarkEnd w:id="0"/>
      <w:r>
        <w:separator/>
      </w:r>
    </w:p>
  </w:footnote>
  <w:footnote w:type="continuationSeparator" w:id="0">
    <w:p w14:paraId="097F12E1" w14:textId="77777777" w:rsidR="00C41C7A" w:rsidRDefault="00C41C7A" w:rsidP="00372A51">
      <w:pPr>
        <w:spacing w:after="0" w:line="240" w:lineRule="auto"/>
      </w:pPr>
      <w:r>
        <w:continuationSeparator/>
      </w:r>
    </w:p>
  </w:footnote>
  <w:footnote w:id="1">
    <w:p w14:paraId="3DC6D852" w14:textId="032BAA87" w:rsidR="009B104F" w:rsidRPr="0030649C" w:rsidRDefault="009B104F">
      <w:pPr>
        <w:pStyle w:val="Textpoznmkypodiarou"/>
        <w:rPr>
          <w:rFonts w:ascii="Arial" w:hAnsi="Arial" w:cs="Arial"/>
          <w:sz w:val="18"/>
          <w:szCs w:val="18"/>
        </w:rPr>
      </w:pPr>
      <w:r w:rsidRPr="0030649C">
        <w:rPr>
          <w:rStyle w:val="Odkaznapoznmkupodiarou"/>
          <w:rFonts w:ascii="Arial" w:hAnsi="Arial" w:cs="Arial"/>
          <w:sz w:val="18"/>
          <w:szCs w:val="18"/>
        </w:rPr>
        <w:footnoteRef/>
      </w:r>
      <w:r w:rsidRPr="0030649C">
        <w:rPr>
          <w:rFonts w:ascii="Arial" w:hAnsi="Arial" w:cs="Arial"/>
          <w:sz w:val="18"/>
          <w:szCs w:val="18"/>
        </w:rPr>
        <w:t xml:space="preserve"> Podľa bodu 1 </w:t>
      </w:r>
      <w:hyperlink r:id="rId1" w:history="1">
        <w:r w:rsidR="001F76AB" w:rsidRPr="0030649C">
          <w:rPr>
            <w:rStyle w:val="Hypertextovprepojenie"/>
            <w:rFonts w:cs="Arial"/>
            <w:sz w:val="18"/>
            <w:szCs w:val="18"/>
          </w:rPr>
          <w:t>Stratégie financovania</w:t>
        </w:r>
      </w:hyperlink>
      <w:r w:rsidR="001F76AB" w:rsidRPr="0030649C">
        <w:rPr>
          <w:rFonts w:ascii="Arial" w:hAnsi="Arial" w:cs="Arial"/>
          <w:sz w:val="18"/>
          <w:szCs w:val="18"/>
        </w:rPr>
        <w:t xml:space="preserve"> </w:t>
      </w:r>
      <w:r w:rsidRPr="0030649C">
        <w:rPr>
          <w:rFonts w:ascii="Arial" w:hAnsi="Arial" w:cs="Arial"/>
          <w:sz w:val="18"/>
          <w:szCs w:val="18"/>
        </w:rPr>
        <w:t>sú subjektami verejnej správy výlučne právnické osoby zapísané v Registri organizácií vedenom Štatistickým úradom SR podľa osobitného predpisu (§ 19 až § 21 zákona č. 540/2001 Z. z. o štátnej štatistike v znení neskorších predpisov), zaradené vo verejnej správe v súlade s jednotnou metodikou platnou v EÚ.</w:t>
      </w:r>
      <w:r w:rsidRPr="0030649C">
        <w:rPr>
          <w:rStyle w:val="Nadpis5Char"/>
          <w:rFonts w:ascii="Arial" w:hAnsi="Arial" w:cs="Arial"/>
          <w:sz w:val="18"/>
          <w:szCs w:val="18"/>
        </w:rPr>
        <w:t xml:space="preserve"> </w:t>
      </w:r>
    </w:p>
  </w:footnote>
  <w:footnote w:id="2">
    <w:p w14:paraId="6DBB6A4B" w14:textId="5607EB26" w:rsidR="009B104F" w:rsidRPr="0030649C" w:rsidRDefault="009B104F">
      <w:pPr>
        <w:pStyle w:val="Textpoznmkypodiarou"/>
        <w:rPr>
          <w:rFonts w:ascii="Arial" w:hAnsi="Arial" w:cs="Arial"/>
          <w:sz w:val="18"/>
          <w:szCs w:val="18"/>
        </w:rPr>
      </w:pPr>
      <w:r w:rsidRPr="0030649C">
        <w:rPr>
          <w:rStyle w:val="Odkaznapoznmkupodiarou"/>
          <w:rFonts w:ascii="Arial" w:hAnsi="Arial" w:cs="Arial"/>
          <w:sz w:val="18"/>
          <w:szCs w:val="18"/>
        </w:rPr>
        <w:footnoteRef/>
      </w:r>
      <w:r w:rsidRPr="0030649C">
        <w:rPr>
          <w:rFonts w:ascii="Arial" w:hAnsi="Arial" w:cs="Arial"/>
          <w:sz w:val="18"/>
          <w:szCs w:val="18"/>
        </w:rPr>
        <w:t xml:space="preserve"> Všetci prijímatelia, ktorí sa nachádzajú v aktuálne platnom </w:t>
      </w:r>
      <w:hyperlink r:id="rId2" w:history="1">
        <w:r w:rsidRPr="0030649C">
          <w:rPr>
            <w:rStyle w:val="Hypertextovprepojenie"/>
            <w:rFonts w:cs="Arial"/>
            <w:sz w:val="18"/>
            <w:szCs w:val="18"/>
          </w:rPr>
          <w:t>Registri organizácií</w:t>
        </w:r>
      </w:hyperlink>
      <w:r w:rsidRPr="0030649C">
        <w:rPr>
          <w:rFonts w:ascii="Arial" w:hAnsi="Arial" w:cs="Arial"/>
          <w:sz w:val="18"/>
          <w:szCs w:val="18"/>
        </w:rPr>
        <w:t xml:space="preserve"> zverejnenom Štatistickým úradom SR s iným druhom vlastníctva ako štátne alebo vlastníctvo územnej samosprávy.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E063A" w14:textId="77777777" w:rsidR="00A5019F" w:rsidRDefault="00A5019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296DD" w14:textId="0C9975E8" w:rsidR="00EF418D" w:rsidRDefault="00EF418D" w:rsidP="00C10A93">
    <w:pPr>
      <w:pStyle w:val="Hlavika"/>
      <w:tabs>
        <w:tab w:val="clear" w:pos="9072"/>
        <w:tab w:val="left" w:pos="13365"/>
      </w:tabs>
      <w:ind w:right="-710"/>
    </w:pPr>
    <w:r>
      <w:tab/>
    </w:r>
    <w:r w:rsidRPr="0001024F">
      <w:rPr>
        <w:noProof/>
        <w:lang w:eastAsia="sk-SK"/>
      </w:rPr>
      <w:drawing>
        <wp:inline distT="0" distB="0" distL="0" distR="0" wp14:anchorId="4F3A70E5" wp14:editId="6BD0956F">
          <wp:extent cx="7405817" cy="633730"/>
          <wp:effectExtent l="0" t="0" r="508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527603" cy="644151"/>
                  </a:xfrm>
                  <a:prstGeom prst="rect">
                    <a:avLst/>
                  </a:prstGeom>
                </pic:spPr>
              </pic:pic>
            </a:graphicData>
          </a:graphic>
        </wp:inline>
      </w:drawing>
    </w:r>
    <w:r w:rsidRPr="00A627B4">
      <w:rPr>
        <w:rFonts w:ascii="Calibri" w:hAnsi="Calibri"/>
        <w:noProof/>
        <w:lang w:eastAsia="sk-SK"/>
      </w:rPr>
      <w:t xml:space="preserve">         </w:t>
    </w:r>
    <w:r w:rsidR="001F0855">
      <w:rPr>
        <w:rFonts w:ascii="Calibri" w:hAnsi="Calibri"/>
        <w:noProof/>
        <w:lang w:eastAsia="sk-SK"/>
      </w:rPr>
      <w:tab/>
    </w:r>
  </w:p>
  <w:p w14:paraId="44A103A6" w14:textId="7C4C5F9E" w:rsidR="006C3425" w:rsidRPr="00467B81" w:rsidRDefault="00EF418D" w:rsidP="00C10A93">
    <w:pPr>
      <w:pStyle w:val="Hlavika"/>
      <w:tabs>
        <w:tab w:val="left" w:pos="960"/>
      </w:tabs>
      <w:rPr>
        <w:rFonts w:ascii="Arial" w:hAnsi="Arial" w:cs="Arial"/>
        <w:sz w:val="19"/>
        <w:szCs w:val="19"/>
      </w:rPr>
    </w:pPr>
    <w:r>
      <w:tab/>
      <w:t xml:space="preserve"> </w:t>
    </w:r>
    <w:r w:rsidR="00C27044">
      <w:tab/>
    </w:r>
    <w:r w:rsidR="00C27044">
      <w:tab/>
    </w:r>
    <w:r w:rsidR="00C27044">
      <w:tab/>
    </w:r>
    <w:r w:rsidR="00C27044">
      <w:tab/>
    </w:r>
    <w:r w:rsidR="00C27044">
      <w:tab/>
    </w:r>
    <w:r>
      <w:t xml:space="preserve"> </w:t>
    </w:r>
    <w:r w:rsidR="00C27044">
      <w:t xml:space="preserve">  </w:t>
    </w:r>
    <w:r w:rsidR="00122F16">
      <w:t xml:space="preserve">                          </w:t>
    </w:r>
    <w:r w:rsidR="006C3425" w:rsidRPr="00467B81">
      <w:rPr>
        <w:rFonts w:ascii="Arial" w:hAnsi="Arial" w:cs="Arial"/>
        <w:sz w:val="19"/>
        <w:szCs w:val="19"/>
      </w:rPr>
      <w:t xml:space="preserve">Príloha </w:t>
    </w:r>
    <w:r w:rsidR="003126A4" w:rsidRPr="00467B81">
      <w:rPr>
        <w:rFonts w:ascii="Arial" w:hAnsi="Arial" w:cs="Arial"/>
        <w:sz w:val="19"/>
        <w:szCs w:val="19"/>
      </w:rPr>
      <w:t>4.16.2</w:t>
    </w:r>
    <w:r w:rsidR="00607DAD" w:rsidRPr="00467B81">
      <w:rPr>
        <w:rFonts w:ascii="Arial" w:hAnsi="Arial" w:cs="Arial"/>
        <w:sz w:val="19"/>
        <w:szCs w:val="19"/>
      </w:rPr>
      <w:t>.</w:t>
    </w:r>
    <w:r w:rsidR="00A5019F">
      <w:rPr>
        <w:rFonts w:ascii="Arial" w:hAnsi="Arial" w:cs="Arial"/>
        <w:sz w:val="19"/>
        <w:szCs w:val="19"/>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42385" w14:textId="77777777" w:rsidR="00A5019F" w:rsidRDefault="00A5019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52CC8"/>
    <w:multiLevelType w:val="hybridMultilevel"/>
    <w:tmpl w:val="DBC47358"/>
    <w:lvl w:ilvl="0" w:tplc="C128AEB8">
      <w:start w:val="16"/>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522399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033"/>
    <w:rsid w:val="00007EC3"/>
    <w:rsid w:val="000174AA"/>
    <w:rsid w:val="000360CA"/>
    <w:rsid w:val="00045877"/>
    <w:rsid w:val="00051877"/>
    <w:rsid w:val="00056AAB"/>
    <w:rsid w:val="00095989"/>
    <w:rsid w:val="000A7F1C"/>
    <w:rsid w:val="000B782E"/>
    <w:rsid w:val="000C7722"/>
    <w:rsid w:val="000F54C9"/>
    <w:rsid w:val="00100033"/>
    <w:rsid w:val="00103F72"/>
    <w:rsid w:val="001048FC"/>
    <w:rsid w:val="00107DDB"/>
    <w:rsid w:val="001114F1"/>
    <w:rsid w:val="001200AC"/>
    <w:rsid w:val="00122F16"/>
    <w:rsid w:val="00153E0E"/>
    <w:rsid w:val="00173658"/>
    <w:rsid w:val="00181527"/>
    <w:rsid w:val="00183FE5"/>
    <w:rsid w:val="00191BE3"/>
    <w:rsid w:val="001A4F32"/>
    <w:rsid w:val="001A708D"/>
    <w:rsid w:val="001F0855"/>
    <w:rsid w:val="001F76AB"/>
    <w:rsid w:val="00202191"/>
    <w:rsid w:val="002024D5"/>
    <w:rsid w:val="00240B02"/>
    <w:rsid w:val="00256F7C"/>
    <w:rsid w:val="00276B25"/>
    <w:rsid w:val="00283E0D"/>
    <w:rsid w:val="002B199D"/>
    <w:rsid w:val="002B2759"/>
    <w:rsid w:val="002B5EF2"/>
    <w:rsid w:val="002C38E1"/>
    <w:rsid w:val="002D2EE0"/>
    <w:rsid w:val="002E0967"/>
    <w:rsid w:val="002F06D5"/>
    <w:rsid w:val="002F0C80"/>
    <w:rsid w:val="0030649C"/>
    <w:rsid w:val="003126A4"/>
    <w:rsid w:val="00315BD9"/>
    <w:rsid w:val="00326A4B"/>
    <w:rsid w:val="00372A51"/>
    <w:rsid w:val="003E0874"/>
    <w:rsid w:val="003F4404"/>
    <w:rsid w:val="0040586C"/>
    <w:rsid w:val="00406B38"/>
    <w:rsid w:val="00406C7F"/>
    <w:rsid w:val="00413517"/>
    <w:rsid w:val="00414AD2"/>
    <w:rsid w:val="00444BB0"/>
    <w:rsid w:val="00447350"/>
    <w:rsid w:val="004476F4"/>
    <w:rsid w:val="00467B81"/>
    <w:rsid w:val="004728D4"/>
    <w:rsid w:val="00476ACB"/>
    <w:rsid w:val="0049011E"/>
    <w:rsid w:val="004B0999"/>
    <w:rsid w:val="004B6140"/>
    <w:rsid w:val="004C5142"/>
    <w:rsid w:val="004F1431"/>
    <w:rsid w:val="00503FBD"/>
    <w:rsid w:val="0052543B"/>
    <w:rsid w:val="005343E9"/>
    <w:rsid w:val="005B229E"/>
    <w:rsid w:val="005B2F0C"/>
    <w:rsid w:val="005B4086"/>
    <w:rsid w:val="005F37B1"/>
    <w:rsid w:val="0060184C"/>
    <w:rsid w:val="006034CB"/>
    <w:rsid w:val="00607DAD"/>
    <w:rsid w:val="006212F4"/>
    <w:rsid w:val="00630095"/>
    <w:rsid w:val="006470D7"/>
    <w:rsid w:val="00655266"/>
    <w:rsid w:val="00664886"/>
    <w:rsid w:val="006B47BE"/>
    <w:rsid w:val="006C0460"/>
    <w:rsid w:val="006C3425"/>
    <w:rsid w:val="006E77DD"/>
    <w:rsid w:val="006E7F67"/>
    <w:rsid w:val="00711731"/>
    <w:rsid w:val="00725D2C"/>
    <w:rsid w:val="00742D33"/>
    <w:rsid w:val="007433F5"/>
    <w:rsid w:val="00781FE1"/>
    <w:rsid w:val="00786DC1"/>
    <w:rsid w:val="00787357"/>
    <w:rsid w:val="007910A2"/>
    <w:rsid w:val="007A1CA8"/>
    <w:rsid w:val="007B012D"/>
    <w:rsid w:val="007B7525"/>
    <w:rsid w:val="007C0F2D"/>
    <w:rsid w:val="007C55F8"/>
    <w:rsid w:val="007D137E"/>
    <w:rsid w:val="007D2E5C"/>
    <w:rsid w:val="007E7501"/>
    <w:rsid w:val="0080177B"/>
    <w:rsid w:val="00810822"/>
    <w:rsid w:val="00831240"/>
    <w:rsid w:val="00833E09"/>
    <w:rsid w:val="00855443"/>
    <w:rsid w:val="00882C92"/>
    <w:rsid w:val="00883E9F"/>
    <w:rsid w:val="008909F5"/>
    <w:rsid w:val="008A3880"/>
    <w:rsid w:val="008C1A58"/>
    <w:rsid w:val="008F566E"/>
    <w:rsid w:val="009004A0"/>
    <w:rsid w:val="009308D9"/>
    <w:rsid w:val="009576F4"/>
    <w:rsid w:val="0096692B"/>
    <w:rsid w:val="00983480"/>
    <w:rsid w:val="00997487"/>
    <w:rsid w:val="009A4078"/>
    <w:rsid w:val="009B104F"/>
    <w:rsid w:val="009C10C2"/>
    <w:rsid w:val="009E0D5F"/>
    <w:rsid w:val="009E15F8"/>
    <w:rsid w:val="00A44899"/>
    <w:rsid w:val="00A5019F"/>
    <w:rsid w:val="00A50AFD"/>
    <w:rsid w:val="00A57CD6"/>
    <w:rsid w:val="00A86ED1"/>
    <w:rsid w:val="00A877C8"/>
    <w:rsid w:val="00A87CB1"/>
    <w:rsid w:val="00AA42B0"/>
    <w:rsid w:val="00AA5321"/>
    <w:rsid w:val="00AB44B5"/>
    <w:rsid w:val="00AB6E9E"/>
    <w:rsid w:val="00AD3E79"/>
    <w:rsid w:val="00AD4A5E"/>
    <w:rsid w:val="00AD6DD6"/>
    <w:rsid w:val="00AD789D"/>
    <w:rsid w:val="00AE5A10"/>
    <w:rsid w:val="00B303D5"/>
    <w:rsid w:val="00B40C7F"/>
    <w:rsid w:val="00B40F0E"/>
    <w:rsid w:val="00B82FC4"/>
    <w:rsid w:val="00BB5416"/>
    <w:rsid w:val="00BD34FF"/>
    <w:rsid w:val="00BE1F09"/>
    <w:rsid w:val="00BF608D"/>
    <w:rsid w:val="00C10A93"/>
    <w:rsid w:val="00C15E36"/>
    <w:rsid w:val="00C17A35"/>
    <w:rsid w:val="00C27044"/>
    <w:rsid w:val="00C34172"/>
    <w:rsid w:val="00C41C7A"/>
    <w:rsid w:val="00C942D9"/>
    <w:rsid w:val="00CA3608"/>
    <w:rsid w:val="00CB7767"/>
    <w:rsid w:val="00CC750F"/>
    <w:rsid w:val="00CD2FB2"/>
    <w:rsid w:val="00D01BF0"/>
    <w:rsid w:val="00D13471"/>
    <w:rsid w:val="00D40FF7"/>
    <w:rsid w:val="00D46A91"/>
    <w:rsid w:val="00D81732"/>
    <w:rsid w:val="00D97C4A"/>
    <w:rsid w:val="00DC1818"/>
    <w:rsid w:val="00DD67C7"/>
    <w:rsid w:val="00DF6359"/>
    <w:rsid w:val="00E17FE9"/>
    <w:rsid w:val="00E22A04"/>
    <w:rsid w:val="00E308F3"/>
    <w:rsid w:val="00E31043"/>
    <w:rsid w:val="00E50510"/>
    <w:rsid w:val="00E73D58"/>
    <w:rsid w:val="00E86D64"/>
    <w:rsid w:val="00EB16B1"/>
    <w:rsid w:val="00EC0500"/>
    <w:rsid w:val="00EF418D"/>
    <w:rsid w:val="00EF4E29"/>
    <w:rsid w:val="00F13385"/>
    <w:rsid w:val="00F27FB1"/>
    <w:rsid w:val="00F50391"/>
    <w:rsid w:val="00F52DBB"/>
    <w:rsid w:val="00F61487"/>
    <w:rsid w:val="00F63525"/>
    <w:rsid w:val="00F75B7D"/>
    <w:rsid w:val="00F83A91"/>
    <w:rsid w:val="00FE6A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E9E81"/>
  <w15:chartTrackingRefBased/>
  <w15:docId w15:val="{1EA14370-7CD2-4FD8-B04E-1187A4DE7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033"/>
  </w:style>
  <w:style w:type="paragraph" w:styleId="Nadpis1">
    <w:name w:val="heading 1"/>
    <w:basedOn w:val="Normlny"/>
    <w:next w:val="Normlny"/>
    <w:link w:val="Nadpis1Char"/>
    <w:uiPriority w:val="9"/>
    <w:qFormat/>
    <w:rsid w:val="0010003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semiHidden/>
    <w:unhideWhenUsed/>
    <w:qFormat/>
    <w:rsid w:val="0010003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100033"/>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y"/>
    <w:next w:val="Normlny"/>
    <w:link w:val="Nadpis4Char"/>
    <w:uiPriority w:val="9"/>
    <w:semiHidden/>
    <w:unhideWhenUsed/>
    <w:qFormat/>
    <w:rsid w:val="00100033"/>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y"/>
    <w:next w:val="Normlny"/>
    <w:link w:val="Nadpis5Char"/>
    <w:uiPriority w:val="9"/>
    <w:semiHidden/>
    <w:unhideWhenUsed/>
    <w:qFormat/>
    <w:rsid w:val="00100033"/>
    <w:pPr>
      <w:keepNext/>
      <w:keepLines/>
      <w:spacing w:before="80" w:after="40"/>
      <w:outlineLvl w:val="4"/>
    </w:pPr>
    <w:rPr>
      <w:rFonts w:eastAsiaTheme="majorEastAsia" w:cstheme="majorBidi"/>
      <w:color w:val="2E74B5" w:themeColor="accent1" w:themeShade="BF"/>
    </w:rPr>
  </w:style>
  <w:style w:type="paragraph" w:styleId="Nadpis6">
    <w:name w:val="heading 6"/>
    <w:basedOn w:val="Normlny"/>
    <w:next w:val="Normlny"/>
    <w:link w:val="Nadpis6Char"/>
    <w:uiPriority w:val="9"/>
    <w:semiHidden/>
    <w:unhideWhenUsed/>
    <w:qFormat/>
    <w:rsid w:val="00100033"/>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100033"/>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100033"/>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100033"/>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0003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semiHidden/>
    <w:rsid w:val="00100033"/>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Predvolenpsmoodseku"/>
    <w:link w:val="Nadpis3"/>
    <w:uiPriority w:val="9"/>
    <w:semiHidden/>
    <w:rsid w:val="00100033"/>
    <w:rPr>
      <w:rFonts w:eastAsiaTheme="majorEastAsia" w:cstheme="majorBidi"/>
      <w:color w:val="2E74B5" w:themeColor="accent1" w:themeShade="BF"/>
      <w:sz w:val="28"/>
      <w:szCs w:val="28"/>
    </w:rPr>
  </w:style>
  <w:style w:type="character" w:customStyle="1" w:styleId="Nadpis4Char">
    <w:name w:val="Nadpis 4 Char"/>
    <w:basedOn w:val="Predvolenpsmoodseku"/>
    <w:link w:val="Nadpis4"/>
    <w:uiPriority w:val="9"/>
    <w:semiHidden/>
    <w:rsid w:val="00100033"/>
    <w:rPr>
      <w:rFonts w:eastAsiaTheme="majorEastAsia" w:cstheme="majorBidi"/>
      <w:i/>
      <w:iCs/>
      <w:color w:val="2E74B5" w:themeColor="accent1" w:themeShade="BF"/>
    </w:rPr>
  </w:style>
  <w:style w:type="character" w:customStyle="1" w:styleId="Nadpis5Char">
    <w:name w:val="Nadpis 5 Char"/>
    <w:basedOn w:val="Predvolenpsmoodseku"/>
    <w:link w:val="Nadpis5"/>
    <w:uiPriority w:val="9"/>
    <w:semiHidden/>
    <w:rsid w:val="00100033"/>
    <w:rPr>
      <w:rFonts w:eastAsiaTheme="majorEastAsia" w:cstheme="majorBidi"/>
      <w:color w:val="2E74B5" w:themeColor="accent1" w:themeShade="BF"/>
    </w:rPr>
  </w:style>
  <w:style w:type="character" w:customStyle="1" w:styleId="Nadpis6Char">
    <w:name w:val="Nadpis 6 Char"/>
    <w:basedOn w:val="Predvolenpsmoodseku"/>
    <w:link w:val="Nadpis6"/>
    <w:uiPriority w:val="9"/>
    <w:semiHidden/>
    <w:rsid w:val="00100033"/>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100033"/>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100033"/>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100033"/>
    <w:rPr>
      <w:rFonts w:eastAsiaTheme="majorEastAsia" w:cstheme="majorBidi"/>
      <w:color w:val="272727" w:themeColor="text1" w:themeTint="D8"/>
    </w:rPr>
  </w:style>
  <w:style w:type="paragraph" w:styleId="Nzov">
    <w:name w:val="Title"/>
    <w:basedOn w:val="Normlny"/>
    <w:next w:val="Normlny"/>
    <w:link w:val="NzovChar"/>
    <w:uiPriority w:val="10"/>
    <w:qFormat/>
    <w:rsid w:val="001000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00033"/>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100033"/>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100033"/>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100033"/>
    <w:pPr>
      <w:spacing w:before="160"/>
      <w:jc w:val="center"/>
    </w:pPr>
    <w:rPr>
      <w:i/>
      <w:iCs/>
      <w:color w:val="404040" w:themeColor="text1" w:themeTint="BF"/>
    </w:rPr>
  </w:style>
  <w:style w:type="character" w:customStyle="1" w:styleId="CitciaChar">
    <w:name w:val="Citácia Char"/>
    <w:basedOn w:val="Predvolenpsmoodseku"/>
    <w:link w:val="Citcia"/>
    <w:uiPriority w:val="29"/>
    <w:rsid w:val="00100033"/>
    <w:rPr>
      <w:i/>
      <w:iCs/>
      <w:color w:val="404040" w:themeColor="text1" w:themeTint="BF"/>
    </w:rPr>
  </w:style>
  <w:style w:type="paragraph" w:styleId="Odsekzoznamu">
    <w:name w:val="List Paragraph"/>
    <w:aliases w:val="body,Odsek zoznamu2,List Paragraph,Listenabsatz,Odsek zoznamu1,Odsek zoznamu21,numbered list,2,OBC Bullet,Normal 1,Task Body,Viñetas (Inicio Parrafo),Paragrafo elenco,3 Txt tabla,Zerrenda-paragrafoa,Fiche List Paragraph,Dot pt,No Spacing1"/>
    <w:basedOn w:val="Normlny"/>
    <w:link w:val="OdsekzoznamuChar"/>
    <w:uiPriority w:val="34"/>
    <w:qFormat/>
    <w:rsid w:val="00100033"/>
    <w:pPr>
      <w:ind w:left="720"/>
      <w:contextualSpacing/>
    </w:pPr>
  </w:style>
  <w:style w:type="character" w:styleId="Intenzvnezvraznenie">
    <w:name w:val="Intense Emphasis"/>
    <w:basedOn w:val="Predvolenpsmoodseku"/>
    <w:uiPriority w:val="21"/>
    <w:qFormat/>
    <w:rsid w:val="00100033"/>
    <w:rPr>
      <w:i/>
      <w:iCs/>
      <w:color w:val="2E74B5" w:themeColor="accent1" w:themeShade="BF"/>
    </w:rPr>
  </w:style>
  <w:style w:type="paragraph" w:styleId="Zvraznencitcia">
    <w:name w:val="Intense Quote"/>
    <w:basedOn w:val="Normlny"/>
    <w:next w:val="Normlny"/>
    <w:link w:val="ZvraznencitciaChar"/>
    <w:uiPriority w:val="30"/>
    <w:qFormat/>
    <w:rsid w:val="0010003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ZvraznencitciaChar">
    <w:name w:val="Zvýraznená citácia Char"/>
    <w:basedOn w:val="Predvolenpsmoodseku"/>
    <w:link w:val="Zvraznencitcia"/>
    <w:uiPriority w:val="30"/>
    <w:rsid w:val="00100033"/>
    <w:rPr>
      <w:i/>
      <w:iCs/>
      <w:color w:val="2E74B5" w:themeColor="accent1" w:themeShade="BF"/>
    </w:rPr>
  </w:style>
  <w:style w:type="character" w:styleId="Zvraznenodkaz">
    <w:name w:val="Intense Reference"/>
    <w:basedOn w:val="Predvolenpsmoodseku"/>
    <w:uiPriority w:val="32"/>
    <w:qFormat/>
    <w:rsid w:val="00100033"/>
    <w:rPr>
      <w:b/>
      <w:bCs/>
      <w:smallCaps/>
      <w:color w:val="2E74B5" w:themeColor="accent1" w:themeShade="BF"/>
      <w:spacing w:val="5"/>
    </w:rPr>
  </w:style>
  <w:style w:type="table" w:styleId="Mriekatabuky">
    <w:name w:val="Table Grid"/>
    <w:basedOn w:val="Normlnatabuka"/>
    <w:uiPriority w:val="39"/>
    <w:rsid w:val="00100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E15F8"/>
    <w:pPr>
      <w:spacing w:after="0" w:line="240" w:lineRule="auto"/>
    </w:pPr>
  </w:style>
  <w:style w:type="character" w:customStyle="1" w:styleId="OdsekzoznamuChar">
    <w:name w:val="Odsek zoznamu Char"/>
    <w:aliases w:val="body Char,Odsek zoznamu2 Char,List Paragraph Char,Listenabsatz Char,Odsek zoznamu1 Char,Odsek zoznamu21 Char,numbered list Char,2 Char,OBC Bullet Char,Normal 1 Char,Task Body Char,Viñetas (Inicio Parrafo) Char,Paragrafo elenco Char"/>
    <w:link w:val="Odsekzoznamu"/>
    <w:uiPriority w:val="34"/>
    <w:qFormat/>
    <w:locked/>
    <w:rsid w:val="00E31043"/>
  </w:style>
  <w:style w:type="character" w:styleId="Odkaznakomentr">
    <w:name w:val="annotation reference"/>
    <w:basedOn w:val="Predvolenpsmoodseku"/>
    <w:uiPriority w:val="99"/>
    <w:unhideWhenUsed/>
    <w:rsid w:val="00F50391"/>
    <w:rPr>
      <w:sz w:val="16"/>
      <w:szCs w:val="16"/>
    </w:rPr>
  </w:style>
  <w:style w:type="paragraph" w:styleId="Textkomentra">
    <w:name w:val="annotation text"/>
    <w:basedOn w:val="Normlny"/>
    <w:link w:val="TextkomentraChar"/>
    <w:uiPriority w:val="99"/>
    <w:unhideWhenUsed/>
    <w:rsid w:val="00F50391"/>
    <w:pPr>
      <w:spacing w:line="240" w:lineRule="auto"/>
    </w:pPr>
    <w:rPr>
      <w:sz w:val="20"/>
      <w:szCs w:val="20"/>
    </w:rPr>
  </w:style>
  <w:style w:type="character" w:customStyle="1" w:styleId="TextkomentraChar">
    <w:name w:val="Text komentára Char"/>
    <w:basedOn w:val="Predvolenpsmoodseku"/>
    <w:link w:val="Textkomentra"/>
    <w:uiPriority w:val="99"/>
    <w:rsid w:val="00F50391"/>
    <w:rPr>
      <w:sz w:val="20"/>
      <w:szCs w:val="20"/>
    </w:rPr>
  </w:style>
  <w:style w:type="paragraph" w:styleId="Predmetkomentra">
    <w:name w:val="annotation subject"/>
    <w:basedOn w:val="Textkomentra"/>
    <w:next w:val="Textkomentra"/>
    <w:link w:val="PredmetkomentraChar"/>
    <w:uiPriority w:val="99"/>
    <w:semiHidden/>
    <w:unhideWhenUsed/>
    <w:rsid w:val="00F50391"/>
    <w:rPr>
      <w:b/>
      <w:bCs/>
    </w:rPr>
  </w:style>
  <w:style w:type="character" w:customStyle="1" w:styleId="PredmetkomentraChar">
    <w:name w:val="Predmet komentára Char"/>
    <w:basedOn w:val="TextkomentraChar"/>
    <w:link w:val="Predmetkomentra"/>
    <w:uiPriority w:val="99"/>
    <w:semiHidden/>
    <w:rsid w:val="00F50391"/>
    <w:rPr>
      <w:b/>
      <w:bCs/>
      <w:sz w:val="20"/>
      <w:szCs w:val="20"/>
    </w:rPr>
  </w:style>
  <w:style w:type="paragraph" w:styleId="Textpoznmkypodiarou">
    <w:name w:val="footnote text"/>
    <w:basedOn w:val="Normlny"/>
    <w:link w:val="TextpoznmkypodiarouChar"/>
    <w:uiPriority w:val="99"/>
    <w:semiHidden/>
    <w:unhideWhenUsed/>
    <w:rsid w:val="00372A5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372A51"/>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unhideWhenUsed/>
    <w:qFormat/>
    <w:rsid w:val="00372A51"/>
    <w:rPr>
      <w:vertAlign w:val="superscript"/>
    </w:rPr>
  </w:style>
  <w:style w:type="character" w:styleId="Hypertextovprepojenie">
    <w:name w:val="Hyperlink"/>
    <w:basedOn w:val="Predvolenpsmoodseku"/>
    <w:uiPriority w:val="99"/>
    <w:rsid w:val="00372A51"/>
    <w:rPr>
      <w:rFonts w:ascii="Arial" w:hAnsi="Arial"/>
      <w:color w:val="00A1DE"/>
      <w:sz w:val="19"/>
      <w:u w:val="single"/>
    </w:rPr>
  </w:style>
  <w:style w:type="paragraph" w:customStyle="1" w:styleId="Char2">
    <w:name w:val="Char2"/>
    <w:basedOn w:val="Normlny"/>
    <w:link w:val="Odkaznapoznmkupodiarou"/>
    <w:uiPriority w:val="99"/>
    <w:rsid w:val="00C15E36"/>
    <w:pPr>
      <w:spacing w:line="240" w:lineRule="exact"/>
    </w:pPr>
    <w:rPr>
      <w:vertAlign w:val="superscript"/>
    </w:rPr>
  </w:style>
  <w:style w:type="character" w:styleId="PouitHypertextovPrepojenie">
    <w:name w:val="FollowedHyperlink"/>
    <w:basedOn w:val="Predvolenpsmoodseku"/>
    <w:uiPriority w:val="99"/>
    <w:semiHidden/>
    <w:unhideWhenUsed/>
    <w:rsid w:val="00C15E36"/>
    <w:rPr>
      <w:color w:val="954F72" w:themeColor="followedHyperlink"/>
      <w:u w:val="single"/>
    </w:rPr>
  </w:style>
  <w:style w:type="paragraph" w:styleId="Textbubliny">
    <w:name w:val="Balloon Text"/>
    <w:basedOn w:val="Normlny"/>
    <w:link w:val="TextbublinyChar"/>
    <w:uiPriority w:val="99"/>
    <w:semiHidden/>
    <w:unhideWhenUsed/>
    <w:rsid w:val="008C1A5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C1A58"/>
    <w:rPr>
      <w:rFonts w:ascii="Segoe UI" w:hAnsi="Segoe UI" w:cs="Segoe UI"/>
      <w:sz w:val="18"/>
      <w:szCs w:val="18"/>
    </w:rPr>
  </w:style>
  <w:style w:type="paragraph" w:styleId="Hlavika">
    <w:name w:val="header"/>
    <w:basedOn w:val="Normlny"/>
    <w:link w:val="HlavikaChar"/>
    <w:uiPriority w:val="99"/>
    <w:unhideWhenUsed/>
    <w:rsid w:val="006C342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3425"/>
  </w:style>
  <w:style w:type="paragraph" w:styleId="Pta">
    <w:name w:val="footer"/>
    <w:basedOn w:val="Normlny"/>
    <w:link w:val="PtaChar"/>
    <w:uiPriority w:val="99"/>
    <w:unhideWhenUsed/>
    <w:rsid w:val="006C3425"/>
    <w:pPr>
      <w:tabs>
        <w:tab w:val="center" w:pos="4536"/>
        <w:tab w:val="right" w:pos="9072"/>
      </w:tabs>
      <w:spacing w:after="0" w:line="240" w:lineRule="auto"/>
    </w:pPr>
  </w:style>
  <w:style w:type="character" w:customStyle="1" w:styleId="PtaChar">
    <w:name w:val="Päta Char"/>
    <w:basedOn w:val="Predvolenpsmoodseku"/>
    <w:link w:val="Pta"/>
    <w:uiPriority w:val="99"/>
    <w:rsid w:val="006C3425"/>
  </w:style>
  <w:style w:type="character" w:styleId="Nevyrieenzmienka">
    <w:name w:val="Unresolved Mention"/>
    <w:basedOn w:val="Predvolenpsmoodseku"/>
    <w:uiPriority w:val="99"/>
    <w:semiHidden/>
    <w:unhideWhenUsed/>
    <w:rsid w:val="001F76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zber.statistics.sk/sk/register-organizacii" TargetMode="External"/><Relationship Id="rId1" Type="http://schemas.openxmlformats.org/officeDocument/2006/relationships/hyperlink" Target="https://www.mfsr.sk/sk/financne-vztahy-eu/povstupove-fondy-eu/programove-obdobie-2021-2027/strategia-financovania-efrr-esf-kf-fst-enraf-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9A6D26C1D22B42A1BB89FF042706CF" ma:contentTypeVersion="5" ma:contentTypeDescription="Create a new document." ma:contentTypeScope="" ma:versionID="ac29607429ea7e5855be77cbf88d809f">
  <xsd:schema xmlns:xsd="http://www.w3.org/2001/XMLSchema" xmlns:xs="http://www.w3.org/2001/XMLSchema" xmlns:p="http://schemas.microsoft.com/office/2006/metadata/properties" xmlns:ns3="10773f6b-5327-4ce0-8f94-61407e02cf16" targetNamespace="http://schemas.microsoft.com/office/2006/metadata/properties" ma:root="true" ma:fieldsID="de345119f99a9f34f65d79e5cc6b3309" ns3:_="">
    <xsd:import namespace="10773f6b-5327-4ce0-8f94-61407e02cf16"/>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773f6b-5327-4ce0-8f94-61407e02cf16"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0773f6b-5327-4ce0-8f94-61407e02cf16" xsi:nil="true"/>
  </documentManagement>
</p:properties>
</file>

<file path=customXml/itemProps1.xml><?xml version="1.0" encoding="utf-8"?>
<ds:datastoreItem xmlns:ds="http://schemas.openxmlformats.org/officeDocument/2006/customXml" ds:itemID="{68B9828B-3CBC-49CB-9037-AF6AED5C8A6E}">
  <ds:schemaRefs>
    <ds:schemaRef ds:uri="http://schemas.openxmlformats.org/officeDocument/2006/bibliography"/>
  </ds:schemaRefs>
</ds:datastoreItem>
</file>

<file path=customXml/itemProps2.xml><?xml version="1.0" encoding="utf-8"?>
<ds:datastoreItem xmlns:ds="http://schemas.openxmlformats.org/officeDocument/2006/customXml" ds:itemID="{9D61BEDA-AE51-4324-91DD-55F59937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773f6b-5327-4ce0-8f94-61407e02cf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06103E-2655-448C-8986-209C82C72FBC}">
  <ds:schemaRefs>
    <ds:schemaRef ds:uri="http://schemas.microsoft.com/sharepoint/v3/contenttype/forms"/>
  </ds:schemaRefs>
</ds:datastoreItem>
</file>

<file path=customXml/itemProps4.xml><?xml version="1.0" encoding="utf-8"?>
<ds:datastoreItem xmlns:ds="http://schemas.openxmlformats.org/officeDocument/2006/customXml" ds:itemID="{0D282FE1-2270-4FFA-9E95-E884517CE262}">
  <ds:schemaRefs>
    <ds:schemaRef ds:uri="http://schemas.microsoft.com/office/2006/metadata/properties"/>
    <ds:schemaRef ds:uri="http://schemas.microsoft.com/office/infopath/2007/PartnerControls"/>
    <ds:schemaRef ds:uri="10773f6b-5327-4ce0-8f94-61407e02cf1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822</Words>
  <Characters>4690</Characters>
  <Application>Microsoft Office Word</Application>
  <DocSecurity>0</DocSecurity>
  <Lines>39</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Matovič, Milan</dc:creator>
  <cp:keywords/>
  <dc:description/>
  <cp:lastModifiedBy>Matovič, Milan</cp:lastModifiedBy>
  <cp:revision>7</cp:revision>
  <dcterms:created xsi:type="dcterms:W3CDTF">2026-01-26T08:30:00Z</dcterms:created>
  <dcterms:modified xsi:type="dcterms:W3CDTF">2026-01-27T10:20:00Z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0x010100BB9A6D26C1D22B42A1BB89FF042706CF</vt:lpwstr>
  </property>
</Properties>
</file>